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45280F1" w14:textId="77777777" w:rsidR="00922B8B" w:rsidRDefault="00922B8B">
      <w:pPr>
        <w:pStyle w:val="Standard"/>
        <w:jc w:val="both"/>
        <w:rPr>
          <w:rFonts w:ascii="Verdana" w:eastAsia="Times New Roman" w:hAnsi="Verdana" w:cs="Times New Roman"/>
          <w:b/>
          <w:sz w:val="22"/>
          <w:szCs w:val="22"/>
        </w:rPr>
      </w:pPr>
    </w:p>
    <w:p w14:paraId="7C298BC4" w14:textId="77777777" w:rsidR="00922B8B" w:rsidRDefault="00922B8B">
      <w:pPr>
        <w:pStyle w:val="Standard"/>
        <w:jc w:val="center"/>
        <w:rPr>
          <w:rFonts w:ascii="Verdana" w:eastAsia="Times New Roman" w:hAnsi="Verdana" w:cs="Verdana"/>
          <w:b/>
          <w:spacing w:val="-6"/>
          <w:sz w:val="22"/>
          <w:szCs w:val="22"/>
        </w:rPr>
      </w:pPr>
      <w:r>
        <w:rPr>
          <w:rFonts w:ascii="Verdana" w:eastAsia="Times New Roman" w:hAnsi="Verdana" w:cs="Verdana"/>
          <w:b/>
          <w:spacing w:val="-6"/>
          <w:sz w:val="22"/>
          <w:szCs w:val="22"/>
        </w:rPr>
        <w:t>Katowicka Specjalna Strefa Ekonomiczna</w:t>
      </w:r>
    </w:p>
    <w:p w14:paraId="60E3E5D2" w14:textId="77777777" w:rsidR="00922B8B" w:rsidRDefault="00922B8B">
      <w:pPr>
        <w:pStyle w:val="Standard"/>
        <w:jc w:val="center"/>
        <w:rPr>
          <w:rFonts w:ascii="Verdana" w:eastAsia="Times New Roman" w:hAnsi="Verdana" w:cs="Verdana"/>
          <w:b/>
          <w:spacing w:val="-6"/>
          <w:sz w:val="22"/>
          <w:szCs w:val="22"/>
        </w:rPr>
      </w:pPr>
      <w:r>
        <w:rPr>
          <w:rFonts w:ascii="Verdana" w:eastAsia="Times New Roman" w:hAnsi="Verdana" w:cs="Verdana"/>
          <w:b/>
          <w:spacing w:val="-6"/>
          <w:sz w:val="22"/>
          <w:szCs w:val="22"/>
        </w:rPr>
        <w:t>Spółka Akcyjna w Katowicach</w:t>
      </w:r>
    </w:p>
    <w:p w14:paraId="21F4A0CD" w14:textId="77777777" w:rsidR="00922B8B" w:rsidRDefault="00922B8B">
      <w:pPr>
        <w:pStyle w:val="Standard"/>
        <w:jc w:val="center"/>
        <w:rPr>
          <w:rFonts w:ascii="Verdana" w:eastAsia="Times New Roman" w:hAnsi="Verdana" w:cs="Verdana"/>
          <w:b/>
          <w:spacing w:val="-6"/>
          <w:sz w:val="22"/>
          <w:szCs w:val="22"/>
        </w:rPr>
      </w:pPr>
      <w:r>
        <w:rPr>
          <w:rFonts w:ascii="Verdana" w:eastAsia="Times New Roman" w:hAnsi="Verdana" w:cs="Verdana"/>
          <w:b/>
          <w:spacing w:val="-6"/>
          <w:sz w:val="22"/>
          <w:szCs w:val="22"/>
        </w:rPr>
        <w:t>40-026 Katowice, ul. Wojewódzka 42</w:t>
      </w:r>
    </w:p>
    <w:p w14:paraId="40C9A773" w14:textId="77777777" w:rsidR="00922B8B" w:rsidRDefault="00922B8B">
      <w:pPr>
        <w:pStyle w:val="Standard"/>
        <w:jc w:val="center"/>
        <w:rPr>
          <w:rFonts w:ascii="Verdana" w:eastAsia="Times New Roman" w:hAnsi="Verdana" w:cs="Verdana"/>
          <w:b/>
          <w:spacing w:val="-6"/>
          <w:sz w:val="22"/>
          <w:szCs w:val="22"/>
        </w:rPr>
      </w:pPr>
      <w:r>
        <w:rPr>
          <w:rFonts w:ascii="Verdana" w:eastAsia="Times New Roman" w:hAnsi="Verdana" w:cs="Verdana"/>
          <w:b/>
          <w:spacing w:val="-6"/>
          <w:sz w:val="22"/>
          <w:szCs w:val="22"/>
        </w:rPr>
        <w:t>tel. (+48 32) 2510-736</w:t>
      </w:r>
    </w:p>
    <w:p w14:paraId="1329AB7D" w14:textId="77777777" w:rsidR="00922B8B" w:rsidRDefault="00922B8B">
      <w:pPr>
        <w:pStyle w:val="Standard"/>
        <w:jc w:val="center"/>
        <w:rPr>
          <w:rFonts w:ascii="Verdana" w:eastAsia="Times New Roman" w:hAnsi="Verdana" w:cs="Times New Roman" w:hint="eastAsia"/>
          <w:sz w:val="22"/>
          <w:szCs w:val="22"/>
        </w:rPr>
      </w:pPr>
      <w:r>
        <w:rPr>
          <w:rFonts w:ascii="Verdana" w:eastAsia="Times New Roman" w:hAnsi="Verdana" w:cs="Verdana"/>
          <w:b/>
          <w:spacing w:val="-6"/>
          <w:sz w:val="22"/>
          <w:szCs w:val="22"/>
        </w:rPr>
        <w:t>jako zarządzający Specjalną Strefą Ekonomiczną</w:t>
      </w:r>
    </w:p>
    <w:p w14:paraId="40A4A38A" w14:textId="77777777" w:rsidR="00922B8B" w:rsidRDefault="00922B8B">
      <w:pPr>
        <w:pStyle w:val="Standard"/>
        <w:jc w:val="center"/>
        <w:rPr>
          <w:rFonts w:ascii="Verdana" w:eastAsia="Times New Roman" w:hAnsi="Verdana" w:cs="Times New Roman" w:hint="eastAsia"/>
          <w:sz w:val="22"/>
          <w:szCs w:val="22"/>
        </w:rPr>
      </w:pPr>
    </w:p>
    <w:p w14:paraId="0722C9C4" w14:textId="77777777" w:rsidR="00922B8B" w:rsidRDefault="00922B8B">
      <w:pPr>
        <w:pStyle w:val="Standard"/>
        <w:jc w:val="both"/>
        <w:rPr>
          <w:rFonts w:ascii="Verdana" w:eastAsia="Times New Roman" w:hAnsi="Verdana" w:cs="Times New Roman" w:hint="eastAsia"/>
          <w:sz w:val="22"/>
          <w:szCs w:val="22"/>
        </w:rPr>
      </w:pPr>
    </w:p>
    <w:p w14:paraId="5CA31581" w14:textId="77777777" w:rsidR="00922B8B" w:rsidRDefault="00922B8B">
      <w:pPr>
        <w:pStyle w:val="Standard"/>
        <w:jc w:val="both"/>
        <w:rPr>
          <w:rFonts w:ascii="Verdana" w:eastAsia="Times New Roman" w:hAnsi="Verdana" w:cs="Verdana" w:hint="eastAsia"/>
          <w:b/>
          <w:bCs/>
          <w:spacing w:val="-6"/>
          <w:sz w:val="22"/>
          <w:szCs w:val="22"/>
        </w:rPr>
      </w:pPr>
      <w:r>
        <w:rPr>
          <w:rFonts w:ascii="Verdana" w:eastAsia="Times New Roman" w:hAnsi="Verdana" w:cs="Verdana"/>
          <w:spacing w:val="-6"/>
          <w:sz w:val="22"/>
          <w:szCs w:val="22"/>
        </w:rPr>
        <w:t xml:space="preserve">działając w imieniu Prezydenta Miasta Jaworzna na podstawie art. 12 ustawy z dnia 10 maja 2018 r. o wspieraniu nowych inwestycji </w:t>
      </w:r>
      <w:r>
        <w:rPr>
          <w:rFonts w:ascii="Verdana" w:hAnsi="Verdana" w:cs="Verdana"/>
          <w:sz w:val="22"/>
          <w:szCs w:val="22"/>
        </w:rPr>
        <w:t xml:space="preserve">(t.j. Dz. U. z 2024 r., poz. 459 z późn. zm.) i </w:t>
      </w:r>
      <w:r>
        <w:rPr>
          <w:rFonts w:ascii="Verdana" w:eastAsia="Times New Roman" w:hAnsi="Verdana" w:cs="Verdana"/>
          <w:spacing w:val="-6"/>
          <w:sz w:val="22"/>
          <w:szCs w:val="22"/>
        </w:rPr>
        <w:t xml:space="preserve"> w oparciu o zarządzenie Prezydenta Miasta Jaworzna nr ON.0050.106.2025 z 1 kwietnia 2025 r., ogłasza:</w:t>
      </w:r>
    </w:p>
    <w:p w14:paraId="777CE3A1" w14:textId="77777777" w:rsidR="00922B8B" w:rsidRDefault="00922B8B">
      <w:pPr>
        <w:pStyle w:val="Standard"/>
        <w:jc w:val="both"/>
        <w:rPr>
          <w:rFonts w:ascii="Verdana" w:eastAsia="Times New Roman" w:hAnsi="Verdana" w:cs="Verdana" w:hint="eastAsia"/>
          <w:b/>
          <w:bCs/>
          <w:spacing w:val="-6"/>
          <w:sz w:val="22"/>
          <w:szCs w:val="22"/>
        </w:rPr>
      </w:pPr>
    </w:p>
    <w:p w14:paraId="0D359BAA" w14:textId="77777777" w:rsidR="00922B8B" w:rsidRDefault="00922B8B">
      <w:pPr>
        <w:pStyle w:val="Standard"/>
        <w:spacing w:line="288" w:lineRule="auto"/>
        <w:jc w:val="center"/>
        <w:rPr>
          <w:rFonts w:ascii="Verdana" w:eastAsia="Times New Roman" w:hAnsi="Verdana" w:cs="Verdana"/>
          <w:b/>
          <w:bCs/>
          <w:spacing w:val="-6"/>
          <w:sz w:val="22"/>
          <w:szCs w:val="22"/>
        </w:rPr>
      </w:pPr>
      <w:r>
        <w:rPr>
          <w:rFonts w:ascii="Verdana" w:eastAsia="Times New Roman" w:hAnsi="Verdana" w:cs="Verdana"/>
          <w:b/>
          <w:bCs/>
          <w:spacing w:val="-6"/>
          <w:sz w:val="22"/>
          <w:szCs w:val="22"/>
        </w:rPr>
        <w:t>I przetarg pisemny nieograniczony</w:t>
      </w:r>
    </w:p>
    <w:p w14:paraId="5CA18C1E" w14:textId="77777777" w:rsidR="00922B8B" w:rsidRDefault="00922B8B">
      <w:pPr>
        <w:pStyle w:val="Standard"/>
        <w:spacing w:line="288" w:lineRule="auto"/>
        <w:jc w:val="center"/>
        <w:rPr>
          <w:rFonts w:ascii="Verdana" w:eastAsia="Times New Roman" w:hAnsi="Verdana" w:cs="Verdana"/>
          <w:b/>
          <w:bCs/>
          <w:spacing w:val="-6"/>
          <w:sz w:val="22"/>
          <w:szCs w:val="22"/>
        </w:rPr>
      </w:pPr>
      <w:r>
        <w:rPr>
          <w:rFonts w:ascii="Verdana" w:eastAsia="Times New Roman" w:hAnsi="Verdana" w:cs="Verdana"/>
          <w:b/>
          <w:bCs/>
          <w:spacing w:val="-6"/>
          <w:sz w:val="22"/>
          <w:szCs w:val="22"/>
        </w:rPr>
        <w:t>na sprzedaż prawa własności nieruchomości gruntowej</w:t>
      </w:r>
    </w:p>
    <w:p w14:paraId="3C89400D" w14:textId="77777777" w:rsidR="00922B8B" w:rsidRDefault="00922B8B">
      <w:pPr>
        <w:pStyle w:val="Standard"/>
        <w:spacing w:after="240" w:line="288" w:lineRule="auto"/>
        <w:jc w:val="center"/>
        <w:rPr>
          <w:rFonts w:ascii="Verdana" w:eastAsia="Times New Roman" w:hAnsi="Verdana" w:cs="Verdana"/>
          <w:b/>
          <w:bCs/>
          <w:spacing w:val="-6"/>
          <w:sz w:val="22"/>
          <w:szCs w:val="22"/>
        </w:rPr>
      </w:pPr>
      <w:r>
        <w:rPr>
          <w:rFonts w:ascii="Verdana" w:eastAsia="Times New Roman" w:hAnsi="Verdana" w:cs="Verdana"/>
          <w:b/>
          <w:bCs/>
          <w:spacing w:val="-6"/>
          <w:sz w:val="22"/>
          <w:szCs w:val="22"/>
        </w:rPr>
        <w:t>stanowiącej własność Gminy Miasta Jaworzna</w:t>
      </w:r>
    </w:p>
    <w:p w14:paraId="786B14CD" w14:textId="77777777" w:rsidR="00922B8B" w:rsidRDefault="00922B8B">
      <w:pPr>
        <w:pStyle w:val="Standard"/>
        <w:numPr>
          <w:ilvl w:val="0"/>
          <w:numId w:val="7"/>
        </w:numPr>
        <w:spacing w:before="120"/>
        <w:ind w:left="357" w:hanging="357"/>
        <w:jc w:val="both"/>
        <w:rPr>
          <w:rFonts w:ascii="Verdana" w:eastAsia="Times New Roman" w:hAnsi="Verdana" w:cs="Verdana"/>
          <w:b/>
          <w:bCs/>
          <w:spacing w:val="-6"/>
          <w:sz w:val="22"/>
          <w:szCs w:val="22"/>
        </w:rPr>
      </w:pPr>
      <w:r>
        <w:rPr>
          <w:rFonts w:ascii="Verdana" w:eastAsia="Times New Roman" w:hAnsi="Verdana" w:cs="Verdana"/>
          <w:b/>
          <w:bCs/>
          <w:spacing w:val="-6"/>
          <w:sz w:val="22"/>
          <w:szCs w:val="22"/>
        </w:rPr>
        <w:t>Oznaczenie nieruchomości:</w:t>
      </w:r>
      <w:r>
        <w:rPr>
          <w:rFonts w:ascii="Verdana" w:eastAsia="Times New Roman" w:hAnsi="Verdana" w:cs="Verdana"/>
          <w:spacing w:val="-6"/>
          <w:sz w:val="22"/>
          <w:szCs w:val="22"/>
        </w:rPr>
        <w:t xml:space="preserve"> działka gminna</w:t>
      </w:r>
      <w:r>
        <w:rPr>
          <w:rFonts w:ascii="Verdana" w:eastAsia="Times New Roman" w:hAnsi="Verdana" w:cs="Verdana"/>
          <w:b/>
          <w:bCs/>
          <w:spacing w:val="-6"/>
          <w:sz w:val="22"/>
          <w:szCs w:val="22"/>
        </w:rPr>
        <w:t xml:space="preserve"> nr 4561 o powierzchni 20,6391 ha w obr. geod. 1026 m. Jaworzna</w:t>
      </w:r>
      <w:r>
        <w:rPr>
          <w:rFonts w:ascii="Verdana" w:eastAsia="Times New Roman" w:hAnsi="Verdana" w:cs="Verdana"/>
          <w:spacing w:val="-6"/>
          <w:sz w:val="22"/>
          <w:szCs w:val="22"/>
        </w:rPr>
        <w:t xml:space="preserve">, położona przy ul. Jana Pawła II i ul. Radwańskich w Jaworznie, objęta księgą wieczystą </w:t>
      </w:r>
      <w:r>
        <w:rPr>
          <w:rFonts w:ascii="Verdana" w:eastAsia="Times New Roman" w:hAnsi="Verdana" w:cs="Verdana"/>
          <w:b/>
          <w:bCs/>
          <w:spacing w:val="-6"/>
          <w:sz w:val="22"/>
          <w:szCs w:val="22"/>
        </w:rPr>
        <w:t>Nr KA1J/00032896/1</w:t>
      </w:r>
      <w:r>
        <w:rPr>
          <w:rFonts w:ascii="Verdana" w:eastAsia="Times New Roman" w:hAnsi="Verdana" w:cs="Verdana"/>
          <w:spacing w:val="-6"/>
          <w:sz w:val="22"/>
          <w:szCs w:val="22"/>
        </w:rPr>
        <w:t xml:space="preserve">, prowadzoną w Sądzie Rejonowym w Jaworznie – Wydziale V Ksiąg Wieczystych. </w:t>
      </w:r>
      <w:r>
        <w:rPr>
          <w:rFonts w:ascii="Verdana" w:hAnsi="Verdana" w:cs="Verdana"/>
          <w:sz w:val="22"/>
          <w:szCs w:val="22"/>
        </w:rPr>
        <w:t>Zgodnie z wpisami zawartymi w ww. księdze wieczystej przedmiotowa nieruchomość stanowi własność Gminy Miasta Jaworzna.</w:t>
      </w:r>
    </w:p>
    <w:p w14:paraId="3F09F3C2" w14:textId="77777777" w:rsidR="00922B8B" w:rsidRDefault="00922B8B">
      <w:pPr>
        <w:pStyle w:val="Standard"/>
        <w:numPr>
          <w:ilvl w:val="0"/>
          <w:numId w:val="7"/>
        </w:numPr>
        <w:ind w:left="357" w:hanging="357"/>
        <w:jc w:val="both"/>
        <w:rPr>
          <w:rFonts w:ascii="Verdana" w:eastAsia="Times New Roman" w:hAnsi="Verdana" w:cs="Verdana"/>
          <w:spacing w:val="-6"/>
          <w:sz w:val="22"/>
          <w:szCs w:val="22"/>
        </w:rPr>
      </w:pPr>
      <w:r>
        <w:rPr>
          <w:rFonts w:ascii="Verdana" w:eastAsia="Times New Roman" w:hAnsi="Verdana" w:cs="Verdana"/>
          <w:b/>
          <w:bCs/>
          <w:spacing w:val="-6"/>
          <w:sz w:val="22"/>
          <w:szCs w:val="22"/>
        </w:rPr>
        <w:t>Opis nieruchomości:</w:t>
      </w:r>
      <w:r>
        <w:rPr>
          <w:rFonts w:ascii="Verdana" w:eastAsia="Times New Roman" w:hAnsi="Verdana" w:cs="Verdana"/>
          <w:spacing w:val="-6"/>
          <w:sz w:val="22"/>
          <w:szCs w:val="22"/>
        </w:rPr>
        <w:t xml:space="preserve"> </w:t>
      </w:r>
      <w:r>
        <w:rPr>
          <w:rFonts w:ascii="Verdana" w:eastAsia="Tahoma" w:hAnsi="Verdana" w:cs="Arial Narrow"/>
          <w:sz w:val="22"/>
          <w:szCs w:val="22"/>
        </w:rPr>
        <w:t>nieruchomość gruntowa, niezabudowana, o kształcie nieregularnym, nieznacznie ograniczającym racjonalne zagospodarowanie. Działka stanowi teren po byłej kopalni Jaworzno, wcześniej zaużytkowany pod składowisko mułów węglowych i kamienia dołowego. W ramach przeprowadzonej rekultywacji obszar działki został uzdatniony poprzez podsadzanie. Działka częściowo porośnięta nieprzedstawiającymi wartości drzewami i krzewami. Teren działki o zróżnicowanej rzędnej wysokości, występują rowy odwadniające oraz skarpy i sk</w:t>
      </w:r>
      <w:r>
        <w:rPr>
          <w:rFonts w:ascii="Verdana" w:eastAsia="Tahoma" w:hAnsi="Verdana" w:cs="Arial Narrow"/>
          <w:sz w:val="22"/>
          <w:szCs w:val="22"/>
        </w:rPr>
        <w:t>arpy dróg. Przez działkę przebiega kanalizacja upustowa o średnicy 400 mm, na niewielkim fragmencie – wodociąg oraz podziemna sieć energetyczna. Uzbrojenie terenów sąsiednich stanowią sieci: energetyczna, wodociągowa, kanalizacyjna, telekomunikacyjna.</w:t>
      </w:r>
    </w:p>
    <w:p w14:paraId="7BD939E8" w14:textId="77777777" w:rsidR="00922B8B" w:rsidRDefault="00922B8B">
      <w:pPr>
        <w:pStyle w:val="Standard"/>
        <w:ind w:left="357"/>
        <w:jc w:val="both"/>
        <w:rPr>
          <w:rFonts w:ascii="Verdana" w:eastAsia="Times New Roman" w:hAnsi="Verdana" w:cs="Verdana"/>
          <w:spacing w:val="-6"/>
          <w:sz w:val="22"/>
          <w:szCs w:val="22"/>
        </w:rPr>
      </w:pPr>
      <w:r>
        <w:rPr>
          <w:rFonts w:ascii="Verdana" w:eastAsia="Times New Roman" w:hAnsi="Verdana" w:cs="Verdana"/>
          <w:spacing w:val="-6"/>
          <w:sz w:val="22"/>
          <w:szCs w:val="22"/>
        </w:rPr>
        <w:t>Najbliższe otoczenie nieruchomości stanowią tereny zabudowy usługowej, przemysłowo-usługowej, tereny zadrzewione. W dalszej odległości znajduje się zabudowa mieszkaniowa jednorodzinna i wielorodzinna, obiekty użyteczności publicznej, zabudowa sakralna, obiekty</w:t>
      </w:r>
      <w:r>
        <w:rPr>
          <w:rFonts w:ascii="Verdana" w:eastAsia="Times New Roman" w:hAnsi="Verdana" w:cs="Verdana"/>
          <w:spacing w:val="-6"/>
          <w:sz w:val="22"/>
          <w:szCs w:val="22"/>
        </w:rPr>
        <w:t xml:space="preserve"> oświatowe oraz usługowo-handlowe.</w:t>
      </w:r>
    </w:p>
    <w:p w14:paraId="578F70B7" w14:textId="77777777" w:rsidR="00922B8B" w:rsidRDefault="00922B8B">
      <w:pPr>
        <w:pStyle w:val="Standard"/>
        <w:ind w:left="357"/>
        <w:jc w:val="both"/>
        <w:rPr>
          <w:rFonts w:ascii="Verdana" w:eastAsia="Times New Roman" w:hAnsi="Verdana" w:cs="Verdana"/>
          <w:b/>
          <w:bCs/>
          <w:spacing w:val="-6"/>
          <w:sz w:val="22"/>
          <w:szCs w:val="22"/>
        </w:rPr>
      </w:pPr>
      <w:r>
        <w:rPr>
          <w:rFonts w:ascii="Verdana" w:eastAsia="Times New Roman" w:hAnsi="Verdana" w:cs="Verdana"/>
          <w:spacing w:val="-6"/>
          <w:sz w:val="22"/>
          <w:szCs w:val="22"/>
        </w:rPr>
        <w:t>Działka położona jest w granicach terenu górniczego „Jaworzno-Jeleń” związanego z obszarem górniczym Jaworzno II w zasięgu płytkiej eksploatacji górniczej zakończonej w 1991 r. Na całym obszarze występują duże zagrożenia deformacjami nieciągłymi. Lokalizacja obiektów budowlanych wymaga wykonania pełnej dokumentacji geologiczno-inżynierskiej z badaniami geofizycznymi.</w:t>
      </w:r>
    </w:p>
    <w:p w14:paraId="34E40B00" w14:textId="77777777" w:rsidR="00922B8B" w:rsidRDefault="00922B8B">
      <w:pPr>
        <w:pStyle w:val="Standard"/>
        <w:ind w:left="357"/>
        <w:jc w:val="both"/>
        <w:rPr>
          <w:rFonts w:ascii="Verdana" w:eastAsia="Tahoma" w:hAnsi="Verdana" w:cs="Arial Narrow"/>
          <w:b/>
          <w:bCs/>
          <w:sz w:val="22"/>
          <w:szCs w:val="22"/>
          <w:u w:val="single"/>
        </w:rPr>
      </w:pPr>
      <w:r>
        <w:rPr>
          <w:rFonts w:ascii="Verdana" w:eastAsia="Times New Roman" w:hAnsi="Verdana" w:cs="Verdana"/>
          <w:b/>
          <w:bCs/>
          <w:spacing w:val="-6"/>
          <w:sz w:val="22"/>
          <w:szCs w:val="22"/>
        </w:rPr>
        <w:t xml:space="preserve">Biuro ds. Geologii: </w:t>
      </w:r>
      <w:r>
        <w:rPr>
          <w:rFonts w:ascii="Verdana" w:eastAsia="Times New Roman" w:hAnsi="Verdana" w:cs="Verdana"/>
          <w:spacing w:val="-6"/>
          <w:sz w:val="22"/>
          <w:szCs w:val="22"/>
        </w:rPr>
        <w:t>zachodnia część działki</w:t>
      </w:r>
      <w:r>
        <w:rPr>
          <w:rFonts w:ascii="Verdana" w:eastAsia="Times New Roman" w:hAnsi="Verdana" w:cs="Verdana"/>
          <w:b/>
          <w:bCs/>
          <w:spacing w:val="-6"/>
          <w:sz w:val="22"/>
          <w:szCs w:val="22"/>
        </w:rPr>
        <w:t xml:space="preserve"> </w:t>
      </w:r>
      <w:r>
        <w:rPr>
          <w:rFonts w:ascii="Verdana" w:eastAsia="Times New Roman" w:hAnsi="Verdana" w:cs="Verdana"/>
          <w:spacing w:val="-6"/>
          <w:sz w:val="22"/>
          <w:szCs w:val="22"/>
        </w:rPr>
        <w:t>znajduje się w obrębie historycznej płytkiej eksploatacji górniczej. W ramach przeprowadzonej rekultywacji obszar działki został uzdatniony poprzez podsadzanie (dokumentacja w Wydziale Inwestycji Miejskich Urzędu Miejskiego w Jaworznie).</w:t>
      </w:r>
    </w:p>
    <w:p w14:paraId="2B86D5C5" w14:textId="77777777" w:rsidR="00922B8B" w:rsidRDefault="00922B8B">
      <w:pPr>
        <w:pStyle w:val="Standard"/>
        <w:ind w:left="357"/>
        <w:jc w:val="both"/>
        <w:rPr>
          <w:rFonts w:ascii="Verdana" w:hAnsi="Verdana" w:cs="Verdana"/>
          <w:b/>
          <w:bCs/>
          <w:sz w:val="22"/>
          <w:szCs w:val="22"/>
        </w:rPr>
      </w:pPr>
      <w:r>
        <w:rPr>
          <w:rFonts w:ascii="Verdana" w:eastAsia="Tahoma" w:hAnsi="Verdana" w:cs="Arial Narrow"/>
          <w:b/>
          <w:bCs/>
          <w:sz w:val="22"/>
          <w:szCs w:val="22"/>
          <w:u w:val="single"/>
        </w:rPr>
        <w:t>Miejski Zarząd Dróg i Mostów:</w:t>
      </w:r>
      <w:r>
        <w:rPr>
          <w:rFonts w:ascii="Verdana" w:eastAsia="Tahoma" w:hAnsi="Verdana" w:cs="Arial Narrow"/>
          <w:sz w:val="22"/>
          <w:szCs w:val="22"/>
        </w:rPr>
        <w:t xml:space="preserve"> obsługa komunikacyjna nieruchomości poprzez istniejące zjazdy. Na działce zlokalizowane jest odwodnienie w postaci rowu opaskowego, zbiornika retencyjnego, a także przez działkę przebiega kanalizacja upustowa odprowadzająca nadmiar wody opadowej ze zbiornika retencyjnego zlokalizowanego przy ul. Jana Pawła II oraz ze zbiornika przy ul. Niemcewicza. Rowy służą do odwodnienia terenu po byłej Hałdzie Piłsudski – zabezpieczają przed </w:t>
      </w:r>
      <w:r>
        <w:rPr>
          <w:rFonts w:ascii="Verdana" w:eastAsia="Tahoma" w:hAnsi="Verdana" w:cs="Arial Narrow"/>
          <w:sz w:val="22"/>
          <w:szCs w:val="22"/>
        </w:rPr>
        <w:lastRenderedPageBreak/>
        <w:t xml:space="preserve">spływem wód na niżej położone tereny. Rowów nie można zlikwidować – należy je </w:t>
      </w:r>
      <w:r>
        <w:rPr>
          <w:rFonts w:ascii="Verdana" w:eastAsia="Tahoma" w:hAnsi="Verdana" w:cs="Arial Narrow"/>
          <w:sz w:val="22"/>
          <w:szCs w:val="22"/>
        </w:rPr>
        <w:t>utrzymać.</w:t>
      </w:r>
    </w:p>
    <w:p w14:paraId="6EC3A714" w14:textId="77777777" w:rsidR="00922B8B" w:rsidRDefault="00922B8B">
      <w:pPr>
        <w:pStyle w:val="Standard"/>
        <w:numPr>
          <w:ilvl w:val="0"/>
          <w:numId w:val="7"/>
        </w:numPr>
        <w:ind w:left="357" w:hanging="357"/>
        <w:jc w:val="both"/>
        <w:rPr>
          <w:rFonts w:ascii="Verdana" w:hAnsi="Verdana" w:cs="Verdana"/>
          <w:b/>
          <w:bCs/>
          <w:sz w:val="22"/>
          <w:szCs w:val="22"/>
        </w:rPr>
      </w:pPr>
      <w:r>
        <w:rPr>
          <w:rFonts w:ascii="Verdana" w:hAnsi="Verdana" w:cs="Verdana"/>
          <w:b/>
          <w:bCs/>
          <w:sz w:val="22"/>
          <w:szCs w:val="22"/>
        </w:rPr>
        <w:t xml:space="preserve">Obciążenia nieruchomości i zobowiązania: </w:t>
      </w:r>
      <w:r>
        <w:rPr>
          <w:rFonts w:ascii="Verdana" w:hAnsi="Verdana" w:cs="Verdana"/>
          <w:sz w:val="22"/>
          <w:szCs w:val="22"/>
        </w:rPr>
        <w:t>Nieruchomość nie jest obciążona żadnymi ograniczonymi prawami rzeczowymi oraz nie jest przedmiotem zobowiązań.</w:t>
      </w:r>
    </w:p>
    <w:p w14:paraId="62ED932A" w14:textId="77777777" w:rsidR="00922B8B" w:rsidRDefault="00922B8B">
      <w:pPr>
        <w:pStyle w:val="Standard"/>
        <w:numPr>
          <w:ilvl w:val="0"/>
          <w:numId w:val="7"/>
        </w:numPr>
        <w:ind w:left="357" w:hanging="357"/>
        <w:jc w:val="both"/>
        <w:rPr>
          <w:rFonts w:ascii="Verdana" w:hAnsi="Verdana" w:cs="Arial Narrow"/>
          <w:b/>
          <w:sz w:val="22"/>
          <w:szCs w:val="22"/>
        </w:rPr>
      </w:pPr>
      <w:r>
        <w:rPr>
          <w:rFonts w:ascii="Verdana" w:hAnsi="Verdana" w:cs="Verdana"/>
          <w:b/>
          <w:bCs/>
          <w:sz w:val="22"/>
          <w:szCs w:val="22"/>
        </w:rPr>
        <w:t>Przeznaczenie działki w miejscowym planie zagospodarowania przestrzennego</w:t>
      </w:r>
      <w:r>
        <w:rPr>
          <w:rFonts w:ascii="Verdana" w:hAnsi="Verdana" w:cs="Verdana"/>
          <w:sz w:val="22"/>
          <w:szCs w:val="22"/>
        </w:rPr>
        <w:t>: Zgodnie z ustaleniami miejscowego planu zagospodarowania przestrzennego „Piłsudski” w Jaworznie, zatwierdzonego Uchwałą Nr XXIV/322/2008 Rady Miejskiej w Jaworznie z dnia 28 sierpnia 2008 r. (Dz. Urz. Woj. Śl. Nr 182 poz. 3321 z 3 października</w:t>
      </w:r>
      <w:r w:rsidR="00BD7564">
        <w:rPr>
          <w:rFonts w:ascii="Verdana" w:hAnsi="Verdana" w:cs="Verdana"/>
          <w:sz w:val="22"/>
          <w:szCs w:val="22"/>
        </w:rPr>
        <w:t xml:space="preserve"> 2008</w:t>
      </w:r>
      <w:r>
        <w:rPr>
          <w:rFonts w:ascii="Verdana" w:hAnsi="Verdana" w:cs="Verdana"/>
          <w:sz w:val="22"/>
          <w:szCs w:val="22"/>
        </w:rPr>
        <w:t xml:space="preserve"> r.), przedmiotowa nieruchomość położona jest na terenie oznaczonym symbolem </w:t>
      </w:r>
      <w:r>
        <w:rPr>
          <w:rFonts w:ascii="Verdana" w:hAnsi="Verdana" w:cs="Arial Narrow"/>
          <w:b/>
          <w:bCs/>
          <w:sz w:val="22"/>
          <w:szCs w:val="22"/>
          <w:lang w:bidi="ar-SA"/>
        </w:rPr>
        <w:t>1PU</w:t>
      </w:r>
      <w:r>
        <w:rPr>
          <w:rFonts w:ascii="Verdana" w:hAnsi="Verdana" w:cs="Arial Narrow"/>
          <w:sz w:val="22"/>
          <w:szCs w:val="22"/>
          <w:lang w:bidi="ar-SA"/>
        </w:rPr>
        <w:t xml:space="preserve"> - tereny zabudowy produkcyjno – usługowej (pow. 202.493 m²), </w:t>
      </w:r>
      <w:r>
        <w:rPr>
          <w:rFonts w:ascii="Verdana" w:eastAsia="Tahoma" w:hAnsi="Verdana" w:cs="Arial Narrow"/>
          <w:b/>
          <w:bCs/>
          <w:sz w:val="22"/>
          <w:szCs w:val="22"/>
          <w:lang w:eastAsia="ar-SA"/>
        </w:rPr>
        <w:t>2ZP</w:t>
      </w:r>
      <w:r>
        <w:rPr>
          <w:rFonts w:ascii="Verdana" w:eastAsia="Tahoma" w:hAnsi="Verdana" w:cs="Arial Narrow"/>
          <w:sz w:val="22"/>
          <w:szCs w:val="22"/>
          <w:lang w:eastAsia="ar-SA"/>
        </w:rPr>
        <w:t xml:space="preserve"> – tereny zieleni urządzonej, teren parku (pow. 2.619 m²) oraz </w:t>
      </w:r>
      <w:r>
        <w:rPr>
          <w:rFonts w:ascii="Verdana" w:eastAsia="Tahoma" w:hAnsi="Verdana" w:cs="Arial Narrow"/>
          <w:b/>
          <w:bCs/>
          <w:sz w:val="22"/>
          <w:szCs w:val="22"/>
          <w:lang w:eastAsia="ar-SA"/>
        </w:rPr>
        <w:t>2ZI</w:t>
      </w:r>
      <w:r>
        <w:rPr>
          <w:rFonts w:ascii="Verdana" w:eastAsia="Tahoma" w:hAnsi="Verdana" w:cs="Arial Narrow"/>
          <w:sz w:val="22"/>
          <w:szCs w:val="22"/>
          <w:lang w:eastAsia="ar-SA"/>
        </w:rPr>
        <w:t xml:space="preserve"> – tereny zieleni izolacyjnej (pow. 1.279 m²).</w:t>
      </w:r>
    </w:p>
    <w:p w14:paraId="4F33977C" w14:textId="77777777" w:rsidR="00922B8B" w:rsidRDefault="00922B8B">
      <w:pPr>
        <w:pStyle w:val="Standard"/>
        <w:spacing w:before="120"/>
        <w:ind w:left="357"/>
        <w:jc w:val="both"/>
        <w:rPr>
          <w:rFonts w:ascii="Verdana" w:hAnsi="Verdana" w:cs="Arial Narrow"/>
          <w:sz w:val="22"/>
          <w:szCs w:val="22"/>
        </w:rPr>
      </w:pPr>
      <w:r>
        <w:rPr>
          <w:rFonts w:ascii="Verdana" w:hAnsi="Verdana" w:cs="Arial Narrow"/>
          <w:b/>
          <w:sz w:val="22"/>
          <w:szCs w:val="22"/>
        </w:rPr>
        <w:t>Stre</w:t>
      </w:r>
      <w:r>
        <w:rPr>
          <w:rFonts w:ascii="Verdana" w:hAnsi="Verdana" w:cs="Arial Narrow"/>
          <w:b/>
          <w:sz w:val="22"/>
          <w:szCs w:val="22"/>
        </w:rPr>
        <w:t>fa 1 PU - tereny zabudowy produkcyjno–usługowej oznaczone symbolami 1PU÷4PU o łącznej powierzchni 37,1 ha.</w:t>
      </w:r>
    </w:p>
    <w:p w14:paraId="0947591A" w14:textId="77777777" w:rsidR="00922B8B" w:rsidRDefault="00922B8B">
      <w:pPr>
        <w:pStyle w:val="Textbody"/>
        <w:widowControl w:val="0"/>
        <w:tabs>
          <w:tab w:val="left" w:pos="284"/>
          <w:tab w:val="left" w:pos="1270"/>
          <w:tab w:val="left" w:pos="1375"/>
        </w:tabs>
        <w:spacing w:after="0" w:line="240" w:lineRule="auto"/>
        <w:ind w:left="357"/>
        <w:jc w:val="both"/>
        <w:rPr>
          <w:rFonts w:ascii="Verdana" w:hAnsi="Verdana" w:cs="Arial Narrow"/>
          <w:sz w:val="22"/>
          <w:szCs w:val="22"/>
        </w:rPr>
      </w:pPr>
      <w:r>
        <w:rPr>
          <w:rFonts w:ascii="Verdana" w:hAnsi="Verdana" w:cs="Arial Narrow"/>
          <w:sz w:val="22"/>
          <w:szCs w:val="22"/>
        </w:rPr>
        <w:t>1. Przeznaczenie, zasady zagospodarowania:</w:t>
      </w:r>
    </w:p>
    <w:p w14:paraId="1131E0E3" w14:textId="77777777" w:rsidR="00922B8B" w:rsidRDefault="00922B8B">
      <w:pPr>
        <w:pStyle w:val="Textbody"/>
        <w:widowControl w:val="0"/>
        <w:numPr>
          <w:ilvl w:val="1"/>
          <w:numId w:val="2"/>
        </w:numPr>
        <w:tabs>
          <w:tab w:val="left" w:pos="905"/>
        </w:tabs>
        <w:spacing w:after="0" w:line="240" w:lineRule="auto"/>
        <w:ind w:left="1077" w:hanging="397"/>
        <w:jc w:val="both"/>
        <w:rPr>
          <w:rFonts w:ascii="Verdana" w:hAnsi="Verdana" w:cs="Arial Narrow"/>
          <w:sz w:val="22"/>
          <w:szCs w:val="22"/>
        </w:rPr>
      </w:pPr>
      <w:r>
        <w:rPr>
          <w:rFonts w:ascii="Verdana" w:hAnsi="Verdana" w:cs="Arial Narrow"/>
          <w:sz w:val="22"/>
          <w:szCs w:val="22"/>
        </w:rPr>
        <w:t>przeznaczenie podstawowe – zabudowa produkcyjna, składów, magazynów oraz z wyłączeniem terenu 4PU usługowa, w tym handel hurtowy i detaliczny bez ograniczenia powierzchni sprzedaży, w tym również obiekty o powierzchni sprzedażnej powyżej 2 000 m</w:t>
      </w:r>
      <w:r>
        <w:rPr>
          <w:rFonts w:ascii="Verdana" w:eastAsia="Arial Unicode MS" w:hAnsi="Verdana" w:cs="Arial Narrow"/>
          <w:position w:val="7"/>
          <w:sz w:val="22"/>
          <w:szCs w:val="22"/>
        </w:rPr>
        <w:t>²</w:t>
      </w:r>
      <w:r>
        <w:rPr>
          <w:rFonts w:ascii="Verdana" w:hAnsi="Verdana" w:cs="Arial Narrow"/>
          <w:sz w:val="22"/>
          <w:szCs w:val="22"/>
        </w:rPr>
        <w:t>,</w:t>
      </w:r>
    </w:p>
    <w:p w14:paraId="418D1EE9" w14:textId="77777777" w:rsidR="00922B8B" w:rsidRDefault="00922B8B">
      <w:pPr>
        <w:pStyle w:val="Textbody"/>
        <w:widowControl w:val="0"/>
        <w:numPr>
          <w:ilvl w:val="1"/>
          <w:numId w:val="2"/>
        </w:numPr>
        <w:tabs>
          <w:tab w:val="left" w:pos="905"/>
        </w:tabs>
        <w:spacing w:after="0" w:line="240" w:lineRule="auto"/>
        <w:ind w:left="1077" w:hanging="397"/>
        <w:jc w:val="both"/>
        <w:rPr>
          <w:rFonts w:ascii="Verdana" w:hAnsi="Verdana" w:cs="Arial Narrow"/>
          <w:sz w:val="22"/>
          <w:szCs w:val="22"/>
        </w:rPr>
      </w:pPr>
      <w:r>
        <w:rPr>
          <w:rFonts w:ascii="Verdana" w:hAnsi="Verdana" w:cs="Arial Narrow"/>
          <w:sz w:val="22"/>
          <w:szCs w:val="22"/>
        </w:rPr>
        <w:t>przeznaczenie dopuszczalne – zabudowa biurowa,</w:t>
      </w:r>
    </w:p>
    <w:p w14:paraId="5DE79E32" w14:textId="77777777" w:rsidR="00922B8B" w:rsidRDefault="00922B8B">
      <w:pPr>
        <w:pStyle w:val="Textbody"/>
        <w:widowControl w:val="0"/>
        <w:numPr>
          <w:ilvl w:val="1"/>
          <w:numId w:val="2"/>
        </w:numPr>
        <w:tabs>
          <w:tab w:val="left" w:pos="905"/>
        </w:tabs>
        <w:spacing w:after="0" w:line="240" w:lineRule="auto"/>
        <w:ind w:left="1077" w:hanging="397"/>
        <w:jc w:val="both"/>
        <w:rPr>
          <w:rFonts w:ascii="Verdana" w:hAnsi="Verdana" w:cs="Arial Narrow"/>
          <w:sz w:val="22"/>
          <w:szCs w:val="22"/>
        </w:rPr>
      </w:pPr>
      <w:r>
        <w:rPr>
          <w:rFonts w:ascii="Verdana" w:hAnsi="Verdana" w:cs="Arial Narrow"/>
          <w:sz w:val="22"/>
          <w:szCs w:val="22"/>
        </w:rPr>
        <w:t>przeznaczenie uzupełniające:</w:t>
      </w:r>
    </w:p>
    <w:p w14:paraId="19ACBDEE" w14:textId="77777777" w:rsidR="00922B8B" w:rsidRDefault="00922B8B">
      <w:pPr>
        <w:pStyle w:val="Textbody"/>
        <w:widowControl w:val="0"/>
        <w:numPr>
          <w:ilvl w:val="2"/>
          <w:numId w:val="5"/>
        </w:numPr>
        <w:tabs>
          <w:tab w:val="left" w:pos="1245"/>
        </w:tabs>
        <w:spacing w:after="0" w:line="240" w:lineRule="auto"/>
        <w:ind w:left="1418"/>
        <w:jc w:val="both"/>
        <w:rPr>
          <w:rFonts w:ascii="Verdana" w:hAnsi="Verdana" w:cs="Arial Narrow"/>
          <w:sz w:val="22"/>
          <w:szCs w:val="22"/>
        </w:rPr>
      </w:pPr>
      <w:r>
        <w:rPr>
          <w:rFonts w:ascii="Verdana" w:hAnsi="Verdana" w:cs="Arial Narrow"/>
          <w:sz w:val="22"/>
          <w:szCs w:val="22"/>
        </w:rPr>
        <w:t>sieci i urządzenia infrastruktury technicznej, drogi wewnętrzne, parkingi,</w:t>
      </w:r>
    </w:p>
    <w:p w14:paraId="12FF1E2B" w14:textId="77777777" w:rsidR="00922B8B" w:rsidRDefault="00922B8B">
      <w:pPr>
        <w:pStyle w:val="Textbody"/>
        <w:widowControl w:val="0"/>
        <w:numPr>
          <w:ilvl w:val="2"/>
          <w:numId w:val="5"/>
        </w:numPr>
        <w:tabs>
          <w:tab w:val="left" w:pos="1245"/>
        </w:tabs>
        <w:spacing w:after="0" w:line="240" w:lineRule="auto"/>
        <w:ind w:left="1418"/>
        <w:jc w:val="both"/>
        <w:rPr>
          <w:rFonts w:ascii="Verdana" w:hAnsi="Verdana" w:cs="Arial Narrow"/>
          <w:sz w:val="22"/>
          <w:szCs w:val="22"/>
        </w:rPr>
      </w:pPr>
      <w:r>
        <w:rPr>
          <w:rFonts w:ascii="Verdana" w:hAnsi="Verdana" w:cs="Arial Narrow"/>
          <w:sz w:val="22"/>
          <w:szCs w:val="22"/>
        </w:rPr>
        <w:t>zieleń urządzona,</w:t>
      </w:r>
    </w:p>
    <w:p w14:paraId="60350EC4" w14:textId="77777777" w:rsidR="00922B8B" w:rsidRDefault="00922B8B">
      <w:pPr>
        <w:pStyle w:val="Textbody"/>
        <w:widowControl w:val="0"/>
        <w:numPr>
          <w:ilvl w:val="1"/>
          <w:numId w:val="2"/>
        </w:numPr>
        <w:tabs>
          <w:tab w:val="left" w:pos="905"/>
        </w:tabs>
        <w:spacing w:after="0" w:line="240" w:lineRule="auto"/>
        <w:ind w:left="1077" w:hanging="397"/>
        <w:jc w:val="both"/>
        <w:rPr>
          <w:rFonts w:ascii="Verdana" w:hAnsi="Verdana" w:cs="Arial Narrow"/>
          <w:sz w:val="22"/>
          <w:szCs w:val="22"/>
        </w:rPr>
      </w:pPr>
      <w:r>
        <w:rPr>
          <w:rFonts w:ascii="Verdana" w:hAnsi="Verdana" w:cs="Arial Narrow"/>
          <w:sz w:val="22"/>
          <w:szCs w:val="22"/>
        </w:rPr>
        <w:t>zakazuje się realizacji:</w:t>
      </w:r>
    </w:p>
    <w:p w14:paraId="6E84696A" w14:textId="77777777" w:rsidR="00922B8B" w:rsidRDefault="00922B8B">
      <w:pPr>
        <w:pStyle w:val="Textbody"/>
        <w:widowControl w:val="0"/>
        <w:numPr>
          <w:ilvl w:val="2"/>
          <w:numId w:val="3"/>
        </w:numPr>
        <w:tabs>
          <w:tab w:val="left" w:pos="1245"/>
        </w:tabs>
        <w:spacing w:after="0" w:line="240" w:lineRule="auto"/>
        <w:ind w:left="1418"/>
        <w:jc w:val="both"/>
        <w:rPr>
          <w:rFonts w:ascii="Verdana" w:hAnsi="Verdana" w:cs="Arial Narrow"/>
          <w:sz w:val="22"/>
          <w:szCs w:val="22"/>
        </w:rPr>
      </w:pPr>
      <w:r>
        <w:rPr>
          <w:rFonts w:ascii="Verdana" w:hAnsi="Verdana" w:cs="Arial Narrow"/>
          <w:sz w:val="22"/>
          <w:szCs w:val="22"/>
        </w:rPr>
        <w:t>obiektów i urządzeń o funkcjach uciążliwych,</w:t>
      </w:r>
    </w:p>
    <w:p w14:paraId="68CCFD25" w14:textId="77777777" w:rsidR="00922B8B" w:rsidRDefault="00922B8B">
      <w:pPr>
        <w:pStyle w:val="Textbody"/>
        <w:widowControl w:val="0"/>
        <w:numPr>
          <w:ilvl w:val="2"/>
          <w:numId w:val="3"/>
        </w:numPr>
        <w:tabs>
          <w:tab w:val="left" w:pos="1245"/>
        </w:tabs>
        <w:spacing w:after="0" w:line="240" w:lineRule="auto"/>
        <w:ind w:left="1418"/>
        <w:jc w:val="both"/>
        <w:rPr>
          <w:rFonts w:ascii="Verdana" w:hAnsi="Verdana" w:cs="Arial Narrow"/>
          <w:sz w:val="22"/>
          <w:szCs w:val="22"/>
        </w:rPr>
      </w:pPr>
      <w:r>
        <w:rPr>
          <w:rFonts w:ascii="Verdana" w:hAnsi="Verdana" w:cs="Arial Narrow"/>
          <w:sz w:val="22"/>
          <w:szCs w:val="22"/>
        </w:rPr>
        <w:t>składowania i przeróbki materiałów niebezpiecznych,</w:t>
      </w:r>
    </w:p>
    <w:p w14:paraId="1B18552D" w14:textId="77777777" w:rsidR="00922B8B" w:rsidRDefault="00922B8B">
      <w:pPr>
        <w:pStyle w:val="Textbody"/>
        <w:widowControl w:val="0"/>
        <w:numPr>
          <w:ilvl w:val="1"/>
          <w:numId w:val="2"/>
        </w:numPr>
        <w:tabs>
          <w:tab w:val="left" w:pos="905"/>
        </w:tabs>
        <w:spacing w:after="0" w:line="240" w:lineRule="auto"/>
        <w:ind w:left="1077" w:hanging="397"/>
        <w:jc w:val="both"/>
        <w:rPr>
          <w:rFonts w:ascii="Verdana" w:hAnsi="Verdana" w:cs="Arial Narrow"/>
          <w:sz w:val="22"/>
          <w:szCs w:val="22"/>
        </w:rPr>
      </w:pPr>
      <w:r>
        <w:rPr>
          <w:rFonts w:ascii="Verdana" w:hAnsi="Verdana" w:cs="Arial Narrow"/>
          <w:sz w:val="22"/>
          <w:szCs w:val="22"/>
        </w:rPr>
        <w:t>zasady zagospodarowania terenów:</w:t>
      </w:r>
    </w:p>
    <w:p w14:paraId="0F8865EF" w14:textId="77777777" w:rsidR="00922B8B" w:rsidRDefault="00922B8B">
      <w:pPr>
        <w:pStyle w:val="Textbody"/>
        <w:widowControl w:val="0"/>
        <w:numPr>
          <w:ilvl w:val="2"/>
          <w:numId w:val="6"/>
        </w:numPr>
        <w:tabs>
          <w:tab w:val="left" w:pos="1245"/>
        </w:tabs>
        <w:spacing w:after="0" w:line="240" w:lineRule="auto"/>
        <w:ind w:left="1418"/>
        <w:jc w:val="both"/>
        <w:rPr>
          <w:rFonts w:ascii="Verdana" w:hAnsi="Verdana" w:cs="Arial Narrow"/>
          <w:sz w:val="22"/>
          <w:szCs w:val="22"/>
        </w:rPr>
      </w:pPr>
      <w:r>
        <w:rPr>
          <w:rFonts w:ascii="Verdana" w:hAnsi="Verdana" w:cs="Arial Narrow"/>
          <w:sz w:val="22"/>
          <w:szCs w:val="22"/>
        </w:rPr>
        <w:t>ustala się sytuowanie obiektów kubaturowych równolegle do dróg klasy G lub GP, z elewacją frontową projektowaną od strony tych dróg,</w:t>
      </w:r>
    </w:p>
    <w:p w14:paraId="7EBB3958" w14:textId="77777777" w:rsidR="00922B8B" w:rsidRDefault="00922B8B">
      <w:pPr>
        <w:pStyle w:val="Textbody"/>
        <w:widowControl w:val="0"/>
        <w:numPr>
          <w:ilvl w:val="2"/>
          <w:numId w:val="6"/>
        </w:numPr>
        <w:tabs>
          <w:tab w:val="left" w:pos="1245"/>
        </w:tabs>
        <w:spacing w:after="0" w:line="240" w:lineRule="auto"/>
        <w:ind w:left="1418"/>
        <w:jc w:val="both"/>
        <w:rPr>
          <w:rFonts w:ascii="Verdana" w:hAnsi="Verdana" w:cs="Arial Narrow"/>
          <w:sz w:val="22"/>
          <w:szCs w:val="22"/>
        </w:rPr>
      </w:pPr>
      <w:r>
        <w:rPr>
          <w:rFonts w:ascii="Verdana" w:hAnsi="Verdana" w:cs="Arial Narrow"/>
          <w:sz w:val="22"/>
          <w:szCs w:val="22"/>
        </w:rPr>
        <w:t>zakazuje się stosowania ogrodzeń z elementów betonowych, blaszanych i muru pełnego,</w:t>
      </w:r>
    </w:p>
    <w:p w14:paraId="6F93D5A9" w14:textId="77777777" w:rsidR="00922B8B" w:rsidRDefault="00922B8B">
      <w:pPr>
        <w:pStyle w:val="Textbody"/>
        <w:widowControl w:val="0"/>
        <w:numPr>
          <w:ilvl w:val="2"/>
          <w:numId w:val="6"/>
        </w:numPr>
        <w:tabs>
          <w:tab w:val="left" w:pos="1245"/>
        </w:tabs>
        <w:spacing w:after="0" w:line="240" w:lineRule="auto"/>
        <w:ind w:left="1418"/>
        <w:jc w:val="both"/>
        <w:rPr>
          <w:rFonts w:ascii="Verdana" w:hAnsi="Verdana" w:cs="Arial Narrow"/>
          <w:sz w:val="22"/>
          <w:szCs w:val="22"/>
        </w:rPr>
      </w:pPr>
      <w:r>
        <w:rPr>
          <w:rFonts w:ascii="Verdana" w:hAnsi="Verdana" w:cs="Arial Narrow"/>
          <w:sz w:val="22"/>
          <w:szCs w:val="22"/>
        </w:rPr>
        <w:t>nakazuje się części terenów zawarte między liniami rozgraniczającymi a nieprzekraczalnymi liniami zabudowy zagospodarować w co najmniej 50% jako zieleń urządzoną o charakterze dekoracyjnym,</w:t>
      </w:r>
    </w:p>
    <w:p w14:paraId="1578956E" w14:textId="77777777" w:rsidR="00922B8B" w:rsidRDefault="00922B8B">
      <w:pPr>
        <w:pStyle w:val="Textbody"/>
        <w:widowControl w:val="0"/>
        <w:numPr>
          <w:ilvl w:val="2"/>
          <w:numId w:val="6"/>
        </w:numPr>
        <w:tabs>
          <w:tab w:val="left" w:pos="1245"/>
        </w:tabs>
        <w:spacing w:after="0" w:line="240" w:lineRule="auto"/>
        <w:ind w:left="1418"/>
        <w:jc w:val="both"/>
        <w:rPr>
          <w:rFonts w:ascii="Verdana" w:eastAsia="Arial" w:hAnsi="Verdana" w:cs="Arial Narrow"/>
          <w:sz w:val="22"/>
          <w:szCs w:val="22"/>
          <w:lang w:eastAsia="ar-SA"/>
        </w:rPr>
      </w:pPr>
      <w:r>
        <w:rPr>
          <w:rFonts w:ascii="Verdana" w:hAnsi="Verdana" w:cs="Arial Narrow"/>
          <w:sz w:val="22"/>
          <w:szCs w:val="22"/>
        </w:rPr>
        <w:t>w terenie 1PU dopuszcza się realizację drogi łączącej ustalone zjazdy KX z dróg 1KDG2/2 i 2KDL1/2 jako drogi wewnętrznej lub publicznej o parametrach technicznych jak dla drogi lokalnej,</w:t>
      </w:r>
    </w:p>
    <w:p w14:paraId="4E095921" w14:textId="77777777" w:rsidR="00922B8B" w:rsidRDefault="00922B8B">
      <w:pPr>
        <w:pStyle w:val="Textbody"/>
        <w:widowControl w:val="0"/>
        <w:numPr>
          <w:ilvl w:val="2"/>
          <w:numId w:val="6"/>
        </w:numPr>
        <w:tabs>
          <w:tab w:val="left" w:pos="1245"/>
        </w:tabs>
        <w:spacing w:after="0" w:line="240" w:lineRule="auto"/>
        <w:ind w:left="1418"/>
        <w:jc w:val="both"/>
        <w:rPr>
          <w:rFonts w:ascii="Verdana" w:hAnsi="Verdana" w:cs="Arial Narrow"/>
          <w:sz w:val="22"/>
          <w:szCs w:val="22"/>
        </w:rPr>
      </w:pPr>
      <w:r>
        <w:rPr>
          <w:rFonts w:ascii="Verdana" w:eastAsia="Arial" w:hAnsi="Verdana" w:cs="Arial Narrow"/>
          <w:sz w:val="22"/>
          <w:szCs w:val="22"/>
          <w:lang w:eastAsia="ar-SA"/>
        </w:rPr>
        <w:t>dopuszcza się podział terenu 1PU na działki budowlane pod warunkiem realizacji drogi, o której mowa w lit. d.</w:t>
      </w:r>
    </w:p>
    <w:p w14:paraId="57AD1B5B" w14:textId="77777777" w:rsidR="00922B8B" w:rsidRDefault="00922B8B">
      <w:pPr>
        <w:pStyle w:val="Textbody"/>
        <w:widowControl w:val="0"/>
        <w:tabs>
          <w:tab w:val="left" w:pos="284"/>
          <w:tab w:val="left" w:pos="1270"/>
          <w:tab w:val="left" w:pos="1375"/>
        </w:tabs>
        <w:spacing w:after="0" w:line="240" w:lineRule="auto"/>
        <w:ind w:left="357"/>
        <w:jc w:val="both"/>
        <w:rPr>
          <w:rFonts w:ascii="Verdana" w:hAnsi="Verdana" w:cs="Arial Narrow"/>
          <w:sz w:val="22"/>
          <w:szCs w:val="22"/>
        </w:rPr>
      </w:pPr>
      <w:r>
        <w:rPr>
          <w:rFonts w:ascii="Verdana" w:hAnsi="Verdana" w:cs="Arial Narrow"/>
          <w:sz w:val="22"/>
          <w:szCs w:val="22"/>
        </w:rPr>
        <w:t>2. Parametry i wskaźniki zagospodarowania terenu:</w:t>
      </w:r>
    </w:p>
    <w:p w14:paraId="26FF6021" w14:textId="77777777" w:rsidR="00922B8B" w:rsidRDefault="00922B8B">
      <w:pPr>
        <w:pStyle w:val="Textbody"/>
        <w:widowControl w:val="0"/>
        <w:tabs>
          <w:tab w:val="left" w:pos="905"/>
        </w:tabs>
        <w:spacing w:after="0" w:line="240" w:lineRule="auto"/>
        <w:ind w:left="709"/>
        <w:jc w:val="both"/>
        <w:rPr>
          <w:rFonts w:ascii="Verdana" w:hAnsi="Verdana" w:cs="Arial Narrow"/>
          <w:sz w:val="22"/>
          <w:szCs w:val="22"/>
        </w:rPr>
      </w:pPr>
      <w:r>
        <w:rPr>
          <w:rFonts w:ascii="Verdana" w:hAnsi="Verdana" w:cs="Arial Narrow"/>
          <w:sz w:val="22"/>
          <w:szCs w:val="22"/>
        </w:rPr>
        <w:t>1) nie określa się granicy wielkości działki inwestycyjnej,</w:t>
      </w:r>
    </w:p>
    <w:p w14:paraId="2E17A54F" w14:textId="77777777" w:rsidR="00922B8B" w:rsidRDefault="00922B8B">
      <w:pPr>
        <w:pStyle w:val="Textbody"/>
        <w:widowControl w:val="0"/>
        <w:tabs>
          <w:tab w:val="left" w:pos="905"/>
        </w:tabs>
        <w:spacing w:after="0" w:line="240" w:lineRule="auto"/>
        <w:ind w:left="709"/>
        <w:jc w:val="both"/>
        <w:rPr>
          <w:rFonts w:ascii="Verdana" w:hAnsi="Verdana" w:cs="Arial Narrow"/>
          <w:sz w:val="22"/>
          <w:szCs w:val="22"/>
        </w:rPr>
      </w:pPr>
      <w:r>
        <w:rPr>
          <w:rFonts w:ascii="Verdana" w:hAnsi="Verdana" w:cs="Arial Narrow"/>
          <w:sz w:val="22"/>
          <w:szCs w:val="22"/>
        </w:rPr>
        <w:t>2) maksymalna powierzchnia zabudowy 50% powierzchni działki,</w:t>
      </w:r>
    </w:p>
    <w:p w14:paraId="5C2DA0F0" w14:textId="77777777" w:rsidR="00922B8B" w:rsidRDefault="00922B8B">
      <w:pPr>
        <w:pStyle w:val="Textbody"/>
        <w:widowControl w:val="0"/>
        <w:tabs>
          <w:tab w:val="left" w:pos="905"/>
        </w:tabs>
        <w:spacing w:after="0" w:line="240" w:lineRule="auto"/>
        <w:ind w:left="709"/>
        <w:jc w:val="both"/>
        <w:rPr>
          <w:rFonts w:ascii="Verdana" w:hAnsi="Verdana" w:cs="Arial Narrow"/>
          <w:sz w:val="22"/>
          <w:szCs w:val="22"/>
        </w:rPr>
      </w:pPr>
      <w:r>
        <w:rPr>
          <w:rFonts w:ascii="Verdana" w:hAnsi="Verdana" w:cs="Arial Narrow"/>
          <w:sz w:val="22"/>
          <w:szCs w:val="22"/>
        </w:rPr>
        <w:t>3) minimalna powierzchnia biologicznie czynna 20% powierzchni działki,</w:t>
      </w:r>
    </w:p>
    <w:p w14:paraId="5D83FDD6" w14:textId="77777777" w:rsidR="00922B8B" w:rsidRDefault="00922B8B">
      <w:pPr>
        <w:pStyle w:val="Textbody"/>
        <w:widowControl w:val="0"/>
        <w:tabs>
          <w:tab w:val="left" w:pos="905"/>
        </w:tabs>
        <w:spacing w:after="0" w:line="240" w:lineRule="auto"/>
        <w:ind w:left="709"/>
        <w:jc w:val="both"/>
        <w:rPr>
          <w:rFonts w:ascii="Verdana" w:hAnsi="Verdana" w:cs="Arial Narrow"/>
          <w:sz w:val="22"/>
          <w:szCs w:val="22"/>
        </w:rPr>
      </w:pPr>
      <w:r>
        <w:rPr>
          <w:rFonts w:ascii="Verdana" w:hAnsi="Verdana" w:cs="Arial Narrow"/>
          <w:sz w:val="22"/>
          <w:szCs w:val="22"/>
        </w:rPr>
        <w:t>4) miejsca parkingowe w obrębie działki przyjmując wskaźnik minimalny 20 stanowisk na 100 zatrudnionych dla terenów produkcyjnych i 1 stanowisko na 15 m</w:t>
      </w:r>
      <w:r>
        <w:rPr>
          <w:rFonts w:ascii="Verdana" w:eastAsia="Arial Unicode MS" w:hAnsi="Verdana" w:cs="Arial Narrow"/>
          <w:position w:val="7"/>
          <w:sz w:val="22"/>
          <w:szCs w:val="22"/>
        </w:rPr>
        <w:t>²</w:t>
      </w:r>
      <w:r>
        <w:rPr>
          <w:rFonts w:ascii="Verdana" w:hAnsi="Verdana" w:cs="Arial Narrow"/>
          <w:sz w:val="22"/>
          <w:szCs w:val="22"/>
        </w:rPr>
        <w:t xml:space="preserve"> powierzchni handlowej i usługowej.</w:t>
      </w:r>
    </w:p>
    <w:p w14:paraId="2BADF51A" w14:textId="77777777" w:rsidR="00922B8B" w:rsidRDefault="00922B8B">
      <w:pPr>
        <w:pStyle w:val="Textbody"/>
        <w:widowControl w:val="0"/>
        <w:tabs>
          <w:tab w:val="left" w:pos="284"/>
          <w:tab w:val="left" w:pos="1270"/>
          <w:tab w:val="left" w:pos="1375"/>
        </w:tabs>
        <w:spacing w:after="0" w:line="240" w:lineRule="auto"/>
        <w:ind w:left="357"/>
        <w:jc w:val="both"/>
        <w:rPr>
          <w:rFonts w:ascii="Verdana" w:hAnsi="Verdana" w:cs="Arial Narrow"/>
          <w:sz w:val="22"/>
          <w:szCs w:val="22"/>
        </w:rPr>
      </w:pPr>
      <w:r>
        <w:rPr>
          <w:rFonts w:ascii="Verdana" w:hAnsi="Verdana" w:cs="Arial Narrow"/>
          <w:sz w:val="22"/>
          <w:szCs w:val="22"/>
        </w:rPr>
        <w:t>3. Parametry i wskaźniki kształtowania zabudowy:</w:t>
      </w:r>
    </w:p>
    <w:p w14:paraId="4BA0B1AC" w14:textId="77777777" w:rsidR="00922B8B" w:rsidRDefault="00922B8B">
      <w:pPr>
        <w:pStyle w:val="Textbody"/>
        <w:widowControl w:val="0"/>
        <w:tabs>
          <w:tab w:val="left" w:pos="905"/>
        </w:tabs>
        <w:spacing w:after="0" w:line="240" w:lineRule="auto"/>
        <w:ind w:left="709"/>
        <w:jc w:val="both"/>
        <w:rPr>
          <w:rFonts w:ascii="Verdana" w:hAnsi="Verdana" w:cs="Arial Narrow"/>
          <w:sz w:val="22"/>
          <w:szCs w:val="22"/>
        </w:rPr>
      </w:pPr>
      <w:r>
        <w:rPr>
          <w:rFonts w:ascii="Verdana" w:hAnsi="Verdana" w:cs="Arial Narrow"/>
          <w:sz w:val="22"/>
          <w:szCs w:val="22"/>
        </w:rPr>
        <w:t>1) ustala się zabudowę o wysokości 1 kondygnacji nadziemnej z zastrzeżeniami pkt 2 i 3,</w:t>
      </w:r>
    </w:p>
    <w:p w14:paraId="6ECCFB68" w14:textId="77777777" w:rsidR="00922B8B" w:rsidRDefault="00922B8B">
      <w:pPr>
        <w:pStyle w:val="Textbody"/>
        <w:widowControl w:val="0"/>
        <w:tabs>
          <w:tab w:val="left" w:pos="905"/>
        </w:tabs>
        <w:spacing w:after="0" w:line="240" w:lineRule="auto"/>
        <w:ind w:left="709"/>
        <w:jc w:val="both"/>
        <w:rPr>
          <w:rFonts w:ascii="Verdana" w:hAnsi="Verdana" w:cs="Arial Narrow"/>
          <w:sz w:val="22"/>
          <w:szCs w:val="22"/>
        </w:rPr>
      </w:pPr>
      <w:r>
        <w:rPr>
          <w:rFonts w:ascii="Verdana" w:hAnsi="Verdana" w:cs="Arial Narrow"/>
          <w:sz w:val="22"/>
          <w:szCs w:val="22"/>
        </w:rPr>
        <w:t>2) dopuszcza się zabudowę 2-kondygnacyjną na powierzchni nie przekraczającej 60% powierzchni zabudowy,</w:t>
      </w:r>
    </w:p>
    <w:p w14:paraId="48D5C283" w14:textId="77777777" w:rsidR="00922B8B" w:rsidRDefault="00922B8B">
      <w:pPr>
        <w:pStyle w:val="Textbody"/>
        <w:widowControl w:val="0"/>
        <w:tabs>
          <w:tab w:val="left" w:pos="905"/>
        </w:tabs>
        <w:spacing w:after="0" w:line="240" w:lineRule="auto"/>
        <w:ind w:left="709"/>
        <w:jc w:val="both"/>
        <w:rPr>
          <w:rFonts w:ascii="Verdana" w:hAnsi="Verdana" w:cs="Arial Narrow"/>
          <w:sz w:val="22"/>
          <w:szCs w:val="22"/>
        </w:rPr>
      </w:pPr>
      <w:r>
        <w:rPr>
          <w:rFonts w:ascii="Verdana" w:hAnsi="Verdana" w:cs="Arial Narrow"/>
          <w:sz w:val="22"/>
          <w:szCs w:val="22"/>
        </w:rPr>
        <w:lastRenderedPageBreak/>
        <w:t>3) dopuszcza się realizację dominant wysokościowych, dla których nie ustala się wysokości dopuszczalnej, w rejonie skrzyżowania drogi GP i G oraz w sąsiedztwie terenu 1ZI,</w:t>
      </w:r>
    </w:p>
    <w:p w14:paraId="4B93EDA3" w14:textId="77777777" w:rsidR="00922B8B" w:rsidRDefault="00922B8B">
      <w:pPr>
        <w:pStyle w:val="Textbody"/>
        <w:widowControl w:val="0"/>
        <w:tabs>
          <w:tab w:val="left" w:pos="905"/>
        </w:tabs>
        <w:spacing w:after="0" w:line="240" w:lineRule="auto"/>
        <w:ind w:left="709"/>
        <w:jc w:val="both"/>
        <w:rPr>
          <w:rFonts w:ascii="Verdana" w:hAnsi="Verdana" w:cs="Arial Narrow"/>
          <w:sz w:val="22"/>
          <w:szCs w:val="22"/>
        </w:rPr>
      </w:pPr>
      <w:r>
        <w:rPr>
          <w:rFonts w:ascii="Verdana" w:hAnsi="Verdana" w:cs="Arial Narrow"/>
          <w:sz w:val="22"/>
          <w:szCs w:val="22"/>
        </w:rPr>
        <w:t>4) realizacje obiektów przekraczających wysokość 30 m należy poprzedzić studium krajobrazowym od strony drogi GP,</w:t>
      </w:r>
    </w:p>
    <w:p w14:paraId="05105C16" w14:textId="77777777" w:rsidR="00922B8B" w:rsidRDefault="00922B8B">
      <w:pPr>
        <w:pStyle w:val="Textbody"/>
        <w:widowControl w:val="0"/>
        <w:tabs>
          <w:tab w:val="left" w:pos="905"/>
        </w:tabs>
        <w:spacing w:after="0" w:line="240" w:lineRule="auto"/>
        <w:ind w:left="709"/>
        <w:jc w:val="both"/>
        <w:rPr>
          <w:rFonts w:ascii="Verdana" w:hAnsi="Verdana" w:cs="Arial Narrow"/>
          <w:sz w:val="22"/>
          <w:szCs w:val="22"/>
        </w:rPr>
      </w:pPr>
      <w:r>
        <w:rPr>
          <w:rFonts w:ascii="Verdana" w:hAnsi="Verdana" w:cs="Arial Narrow"/>
          <w:sz w:val="22"/>
          <w:szCs w:val="22"/>
        </w:rPr>
        <w:t>5) ustala się kształtowanie zabudowy w artykulacji współczesnej z zastosowaniem indywidualnych rozwiązań przestrzennych i materiałowych ułatwiających identyfikację użytkownika,</w:t>
      </w:r>
    </w:p>
    <w:p w14:paraId="5FA9719C" w14:textId="77777777" w:rsidR="00922B8B" w:rsidRDefault="00922B8B">
      <w:pPr>
        <w:pStyle w:val="Textbody"/>
        <w:widowControl w:val="0"/>
        <w:tabs>
          <w:tab w:val="left" w:pos="905"/>
        </w:tabs>
        <w:spacing w:after="0" w:line="240" w:lineRule="auto"/>
        <w:ind w:left="709"/>
        <w:jc w:val="both"/>
        <w:rPr>
          <w:rFonts w:ascii="Verdana" w:hAnsi="Verdana" w:cs="Arial Narrow"/>
          <w:sz w:val="22"/>
          <w:szCs w:val="22"/>
        </w:rPr>
      </w:pPr>
      <w:r>
        <w:rPr>
          <w:rFonts w:ascii="Verdana" w:hAnsi="Verdana" w:cs="Arial Narrow"/>
          <w:sz w:val="22"/>
          <w:szCs w:val="22"/>
        </w:rPr>
        <w:t>6) zakazuje się stosowania jednorodnych materiałowo ścian osłonowych.</w:t>
      </w:r>
    </w:p>
    <w:p w14:paraId="027861AA" w14:textId="77777777" w:rsidR="00922B8B" w:rsidRDefault="00922B8B">
      <w:pPr>
        <w:pStyle w:val="Textbody"/>
        <w:widowControl w:val="0"/>
        <w:tabs>
          <w:tab w:val="left" w:pos="905"/>
        </w:tabs>
        <w:spacing w:after="0" w:line="240" w:lineRule="auto"/>
        <w:ind w:left="499" w:hanging="142"/>
        <w:jc w:val="both"/>
        <w:rPr>
          <w:rFonts w:ascii="Verdana" w:hAnsi="Verdana" w:cs="Arial Narrow"/>
          <w:b/>
          <w:sz w:val="22"/>
          <w:szCs w:val="22"/>
        </w:rPr>
      </w:pPr>
      <w:r>
        <w:rPr>
          <w:rFonts w:ascii="Verdana" w:hAnsi="Verdana" w:cs="Arial Narrow"/>
          <w:sz w:val="22"/>
          <w:szCs w:val="22"/>
        </w:rPr>
        <w:t>4. Szczególne waru</w:t>
      </w:r>
      <w:r>
        <w:rPr>
          <w:rFonts w:ascii="Verdana" w:hAnsi="Verdana" w:cs="Arial Narrow"/>
          <w:sz w:val="22"/>
          <w:szCs w:val="22"/>
        </w:rPr>
        <w:t>nki zagospodarowania terenów zgodnie z § 19.</w:t>
      </w:r>
    </w:p>
    <w:p w14:paraId="5F477120" w14:textId="77777777" w:rsidR="00922B8B" w:rsidRDefault="00922B8B">
      <w:pPr>
        <w:pStyle w:val="Textbody"/>
        <w:spacing w:before="120" w:after="0" w:line="240" w:lineRule="auto"/>
        <w:ind w:left="357"/>
        <w:jc w:val="both"/>
        <w:rPr>
          <w:rFonts w:ascii="Verdana" w:hAnsi="Verdana" w:cs="Arial Narrow"/>
          <w:sz w:val="22"/>
          <w:szCs w:val="22"/>
        </w:rPr>
      </w:pPr>
      <w:r>
        <w:rPr>
          <w:rFonts w:ascii="Verdana" w:hAnsi="Verdana" w:cs="Arial Narrow"/>
          <w:b/>
          <w:sz w:val="22"/>
          <w:szCs w:val="22"/>
        </w:rPr>
        <w:t>Strefa 2ZP – tereny zieleni urządzonej, tereny parku oznaczone symbolami 1ZP÷2ZP o łącznej powierzchni 25,5 ha.</w:t>
      </w:r>
    </w:p>
    <w:p w14:paraId="52CBC592" w14:textId="77777777" w:rsidR="00922B8B" w:rsidRDefault="00922B8B">
      <w:pPr>
        <w:pStyle w:val="Textbody"/>
        <w:tabs>
          <w:tab w:val="left" w:pos="255"/>
          <w:tab w:val="left" w:pos="585"/>
        </w:tabs>
        <w:spacing w:after="0" w:line="240" w:lineRule="auto"/>
        <w:ind w:left="357"/>
        <w:jc w:val="both"/>
        <w:rPr>
          <w:rFonts w:ascii="Verdana" w:hAnsi="Verdana" w:cs="Arial Narrow"/>
          <w:sz w:val="22"/>
          <w:szCs w:val="22"/>
        </w:rPr>
      </w:pPr>
      <w:r>
        <w:rPr>
          <w:rFonts w:ascii="Verdana" w:hAnsi="Verdana" w:cs="Arial Narrow"/>
          <w:sz w:val="22"/>
          <w:szCs w:val="22"/>
        </w:rPr>
        <w:t>1. Przeznaczenie, zasady zagospodarowania terenu oraz zasady kształtowania ładu przestrzennego:</w:t>
      </w:r>
    </w:p>
    <w:p w14:paraId="6E6766ED" w14:textId="77777777" w:rsidR="00922B8B" w:rsidRDefault="00922B8B">
      <w:pPr>
        <w:pStyle w:val="Textbody"/>
        <w:tabs>
          <w:tab w:val="left" w:pos="1245"/>
          <w:tab w:val="left" w:pos="1335"/>
          <w:tab w:val="left" w:pos="1665"/>
        </w:tabs>
        <w:spacing w:after="0" w:line="240" w:lineRule="auto"/>
        <w:ind w:left="567"/>
        <w:jc w:val="both"/>
        <w:rPr>
          <w:rFonts w:ascii="Verdana" w:hAnsi="Verdana" w:cs="Arial Narrow"/>
          <w:sz w:val="22"/>
          <w:szCs w:val="22"/>
        </w:rPr>
      </w:pPr>
      <w:r>
        <w:rPr>
          <w:rFonts w:ascii="Verdana" w:hAnsi="Verdana" w:cs="Arial Narrow"/>
          <w:sz w:val="22"/>
          <w:szCs w:val="22"/>
        </w:rPr>
        <w:t>1) przeznaczenie podstawowe – tereny zieleni urządzonej pełniące funkcję parku miejskiego,</w:t>
      </w:r>
    </w:p>
    <w:p w14:paraId="0FE479BA" w14:textId="77777777" w:rsidR="00922B8B" w:rsidRDefault="00922B8B">
      <w:pPr>
        <w:pStyle w:val="Textbody"/>
        <w:tabs>
          <w:tab w:val="left" w:pos="1245"/>
          <w:tab w:val="left" w:pos="1335"/>
          <w:tab w:val="left" w:pos="1665"/>
        </w:tabs>
        <w:spacing w:after="0" w:line="240" w:lineRule="auto"/>
        <w:ind w:left="567"/>
        <w:jc w:val="both"/>
        <w:rPr>
          <w:rFonts w:ascii="Verdana" w:hAnsi="Verdana" w:cs="Arial Narrow"/>
          <w:sz w:val="22"/>
          <w:szCs w:val="22"/>
        </w:rPr>
      </w:pPr>
      <w:r>
        <w:rPr>
          <w:rFonts w:ascii="Verdana" w:hAnsi="Verdana" w:cs="Arial Narrow"/>
          <w:sz w:val="22"/>
          <w:szCs w:val="22"/>
        </w:rPr>
        <w:t>2) przeznaczenie uzupełniające:</w:t>
      </w:r>
    </w:p>
    <w:p w14:paraId="4B1E9023" w14:textId="77777777" w:rsidR="00922B8B" w:rsidRDefault="00922B8B">
      <w:pPr>
        <w:pStyle w:val="Textbody"/>
        <w:tabs>
          <w:tab w:val="left" w:pos="1605"/>
          <w:tab w:val="left" w:pos="1695"/>
          <w:tab w:val="left" w:pos="2025"/>
        </w:tabs>
        <w:spacing w:after="0" w:line="240" w:lineRule="auto"/>
        <w:ind w:left="993"/>
        <w:jc w:val="both"/>
        <w:rPr>
          <w:rFonts w:ascii="Verdana" w:hAnsi="Verdana" w:cs="Arial Narrow"/>
          <w:sz w:val="22"/>
          <w:szCs w:val="22"/>
        </w:rPr>
      </w:pPr>
      <w:r>
        <w:rPr>
          <w:rFonts w:ascii="Verdana" w:hAnsi="Verdana" w:cs="Arial Narrow"/>
          <w:sz w:val="22"/>
          <w:szCs w:val="22"/>
        </w:rPr>
        <w:t>a) urządzenia rekreacyjne,</w:t>
      </w:r>
    </w:p>
    <w:p w14:paraId="6E8C7810" w14:textId="77777777" w:rsidR="00922B8B" w:rsidRDefault="00922B8B">
      <w:pPr>
        <w:pStyle w:val="Textbody"/>
        <w:tabs>
          <w:tab w:val="left" w:pos="1605"/>
          <w:tab w:val="left" w:pos="1695"/>
          <w:tab w:val="left" w:pos="2025"/>
        </w:tabs>
        <w:spacing w:after="0" w:line="240" w:lineRule="auto"/>
        <w:ind w:left="993"/>
        <w:jc w:val="both"/>
        <w:rPr>
          <w:rFonts w:ascii="Verdana" w:hAnsi="Verdana" w:cs="Arial Narrow"/>
          <w:sz w:val="22"/>
          <w:szCs w:val="22"/>
        </w:rPr>
      </w:pPr>
      <w:r>
        <w:rPr>
          <w:rFonts w:ascii="Verdana" w:hAnsi="Verdana" w:cs="Arial Narrow"/>
          <w:sz w:val="22"/>
          <w:szCs w:val="22"/>
        </w:rPr>
        <w:t>b) obiekty zaplecza sanitarnego,</w:t>
      </w:r>
    </w:p>
    <w:p w14:paraId="1DE6E67D" w14:textId="77777777" w:rsidR="00922B8B" w:rsidRDefault="00922B8B">
      <w:pPr>
        <w:pStyle w:val="Textbody"/>
        <w:tabs>
          <w:tab w:val="left" w:pos="1605"/>
          <w:tab w:val="left" w:pos="1695"/>
          <w:tab w:val="left" w:pos="2025"/>
        </w:tabs>
        <w:spacing w:after="0" w:line="240" w:lineRule="auto"/>
        <w:ind w:left="993"/>
        <w:jc w:val="both"/>
        <w:rPr>
          <w:rFonts w:ascii="Verdana" w:eastAsia="Arial" w:hAnsi="Verdana" w:cs="Arial Narrow"/>
          <w:sz w:val="22"/>
          <w:szCs w:val="22"/>
          <w:lang w:eastAsia="ar-SA"/>
        </w:rPr>
      </w:pPr>
      <w:r>
        <w:rPr>
          <w:rFonts w:ascii="Verdana" w:hAnsi="Verdana" w:cs="Arial Narrow"/>
          <w:sz w:val="22"/>
          <w:szCs w:val="22"/>
        </w:rPr>
        <w:t>c) sieci i urządzenia infrastruktury technicznej niezbędne do obsługi terenu,</w:t>
      </w:r>
    </w:p>
    <w:p w14:paraId="3E2519CF" w14:textId="77777777" w:rsidR="00922B8B" w:rsidRDefault="00922B8B">
      <w:pPr>
        <w:pStyle w:val="Textbody"/>
        <w:tabs>
          <w:tab w:val="left" w:pos="1245"/>
          <w:tab w:val="left" w:pos="1335"/>
          <w:tab w:val="left" w:pos="1665"/>
        </w:tabs>
        <w:spacing w:after="0" w:line="240" w:lineRule="auto"/>
        <w:ind w:left="567"/>
        <w:jc w:val="both"/>
        <w:rPr>
          <w:rFonts w:ascii="Verdana" w:eastAsia="Arial" w:hAnsi="Verdana" w:cs="Arial Narrow"/>
          <w:sz w:val="22"/>
          <w:szCs w:val="22"/>
          <w:lang w:eastAsia="ar-SA"/>
        </w:rPr>
      </w:pPr>
      <w:r>
        <w:rPr>
          <w:rFonts w:ascii="Verdana" w:eastAsia="Arial" w:hAnsi="Verdana" w:cs="Arial Narrow"/>
          <w:sz w:val="22"/>
          <w:szCs w:val="22"/>
          <w:lang w:eastAsia="ar-SA"/>
        </w:rPr>
        <w:t>3) zakazuje się budowy obiektów kubaturowych poza wymienionymi w pkt 2.</w:t>
      </w:r>
    </w:p>
    <w:p w14:paraId="305BF038" w14:textId="77777777" w:rsidR="00922B8B" w:rsidRDefault="00922B8B">
      <w:pPr>
        <w:pStyle w:val="Textbody"/>
        <w:tabs>
          <w:tab w:val="left" w:pos="1245"/>
          <w:tab w:val="left" w:pos="1335"/>
          <w:tab w:val="left" w:pos="1665"/>
        </w:tabs>
        <w:spacing w:after="0" w:line="240" w:lineRule="auto"/>
        <w:ind w:left="567"/>
        <w:jc w:val="both"/>
        <w:rPr>
          <w:rFonts w:ascii="Verdana" w:eastAsia="Arial" w:hAnsi="Verdana" w:cs="Arial Narrow"/>
          <w:sz w:val="22"/>
          <w:szCs w:val="22"/>
          <w:lang w:eastAsia="ar-SA"/>
        </w:rPr>
      </w:pPr>
      <w:r>
        <w:rPr>
          <w:rFonts w:ascii="Verdana" w:eastAsia="Arial" w:hAnsi="Verdana" w:cs="Arial Narrow"/>
          <w:sz w:val="22"/>
          <w:szCs w:val="22"/>
          <w:lang w:eastAsia="ar-SA"/>
        </w:rPr>
        <w:t>4) zagospodarowanie terenu powinno obejmować komponowany układ zieleni ozdobnej wraz z wyposażeniem w urządzenia służące wypoczynkowi ludności – w tym place zabaw, alejki spacerowe, ścieżki rowerowe,</w:t>
      </w:r>
    </w:p>
    <w:p w14:paraId="521B5BE6" w14:textId="77777777" w:rsidR="00922B8B" w:rsidRDefault="00922B8B">
      <w:pPr>
        <w:pStyle w:val="Textbody"/>
        <w:tabs>
          <w:tab w:val="left" w:pos="1245"/>
          <w:tab w:val="left" w:pos="1335"/>
          <w:tab w:val="left" w:pos="1665"/>
        </w:tabs>
        <w:spacing w:after="0" w:line="240" w:lineRule="auto"/>
        <w:ind w:left="567"/>
        <w:jc w:val="both"/>
        <w:rPr>
          <w:rFonts w:ascii="Verdana" w:hAnsi="Verdana" w:cs="Arial Narrow"/>
          <w:bCs/>
          <w:sz w:val="22"/>
          <w:szCs w:val="22"/>
        </w:rPr>
      </w:pPr>
      <w:r>
        <w:rPr>
          <w:rFonts w:ascii="Verdana" w:eastAsia="Arial" w:hAnsi="Verdana" w:cs="Arial Narrow"/>
          <w:sz w:val="22"/>
          <w:szCs w:val="22"/>
          <w:lang w:eastAsia="ar-SA"/>
        </w:rPr>
        <w:t>5) należy zaakcentować główne wejścia na teren parku z terenów parkingów zewnętrznych 1KS</w:t>
      </w:r>
      <w:r>
        <w:rPr>
          <w:rFonts w:ascii="Verdana" w:hAnsi="Verdana" w:cs="Arial Narrow"/>
          <w:bCs/>
          <w:sz w:val="22"/>
          <w:szCs w:val="22"/>
        </w:rPr>
        <w:t>÷3KS poprzez ukształtowanie placyków wejściowych i symbolicznych bram,</w:t>
      </w:r>
    </w:p>
    <w:p w14:paraId="7EA1724C" w14:textId="77777777" w:rsidR="00922B8B" w:rsidRDefault="00922B8B">
      <w:pPr>
        <w:pStyle w:val="Textbody"/>
        <w:tabs>
          <w:tab w:val="left" w:pos="1245"/>
          <w:tab w:val="left" w:pos="1335"/>
          <w:tab w:val="left" w:pos="1665"/>
        </w:tabs>
        <w:spacing w:after="0" w:line="240" w:lineRule="auto"/>
        <w:ind w:left="567"/>
        <w:jc w:val="both"/>
        <w:rPr>
          <w:rFonts w:ascii="Verdana" w:hAnsi="Verdana" w:cs="Arial Narrow"/>
          <w:bCs/>
          <w:sz w:val="22"/>
          <w:szCs w:val="22"/>
        </w:rPr>
      </w:pPr>
      <w:r>
        <w:rPr>
          <w:rFonts w:ascii="Verdana" w:hAnsi="Verdana" w:cs="Arial Narrow"/>
          <w:bCs/>
          <w:sz w:val="22"/>
          <w:szCs w:val="22"/>
        </w:rPr>
        <w:t>6) nakazuje się zachowanie istniejącego ukształtowania terenu,</w:t>
      </w:r>
    </w:p>
    <w:p w14:paraId="12AAD575" w14:textId="77777777" w:rsidR="00922B8B" w:rsidRDefault="00922B8B">
      <w:pPr>
        <w:pStyle w:val="Textbody"/>
        <w:tabs>
          <w:tab w:val="left" w:pos="1245"/>
          <w:tab w:val="left" w:pos="1335"/>
          <w:tab w:val="left" w:pos="1665"/>
        </w:tabs>
        <w:spacing w:after="0" w:line="240" w:lineRule="auto"/>
        <w:ind w:left="567"/>
        <w:jc w:val="both"/>
        <w:rPr>
          <w:rFonts w:ascii="Verdana" w:hAnsi="Verdana" w:cs="Arial Narrow"/>
          <w:bCs/>
          <w:sz w:val="22"/>
          <w:szCs w:val="22"/>
        </w:rPr>
      </w:pPr>
      <w:r>
        <w:rPr>
          <w:rFonts w:ascii="Verdana" w:hAnsi="Verdana" w:cs="Arial Narrow"/>
          <w:bCs/>
          <w:sz w:val="22"/>
          <w:szCs w:val="22"/>
        </w:rPr>
        <w:t>7) dopuszcza się niwelację tylko wynikającą z konieczności zabezpieczenia przed erozją i podniesienia naturalnej retencji,</w:t>
      </w:r>
    </w:p>
    <w:p w14:paraId="3ECBA91E" w14:textId="77777777" w:rsidR="00922B8B" w:rsidRDefault="00922B8B">
      <w:pPr>
        <w:pStyle w:val="Textbody"/>
        <w:tabs>
          <w:tab w:val="left" w:pos="1245"/>
          <w:tab w:val="left" w:pos="1335"/>
          <w:tab w:val="left" w:pos="1665"/>
        </w:tabs>
        <w:spacing w:after="0" w:line="240" w:lineRule="auto"/>
        <w:ind w:left="567"/>
        <w:jc w:val="both"/>
        <w:rPr>
          <w:rFonts w:ascii="Verdana" w:hAnsi="Verdana" w:cs="Arial Narrow"/>
          <w:bCs/>
          <w:sz w:val="22"/>
          <w:szCs w:val="22"/>
        </w:rPr>
      </w:pPr>
      <w:r>
        <w:rPr>
          <w:rFonts w:ascii="Verdana" w:hAnsi="Verdana" w:cs="Arial Narrow"/>
          <w:bCs/>
          <w:sz w:val="22"/>
          <w:szCs w:val="22"/>
        </w:rPr>
        <w:t>8) utrzymuje się istniejącą zieleń i ustala wzbogacenie składu gatunkowego drzewostanów i zakrzewień przez wprowadzenie gatunków drzew i krzewów ozdobnych zapewniających całoroczny atrakcyjny wygląd parku,</w:t>
      </w:r>
    </w:p>
    <w:p w14:paraId="2623C5E8" w14:textId="77777777" w:rsidR="00922B8B" w:rsidRDefault="00922B8B">
      <w:pPr>
        <w:pStyle w:val="Textbody"/>
        <w:tabs>
          <w:tab w:val="left" w:pos="1245"/>
          <w:tab w:val="left" w:pos="1335"/>
          <w:tab w:val="left" w:pos="1665"/>
        </w:tabs>
        <w:spacing w:after="0" w:line="240" w:lineRule="auto"/>
        <w:ind w:left="567"/>
        <w:jc w:val="both"/>
        <w:rPr>
          <w:rFonts w:ascii="Verdana" w:hAnsi="Verdana" w:cs="Arial Narrow"/>
          <w:bCs/>
          <w:sz w:val="22"/>
          <w:szCs w:val="22"/>
        </w:rPr>
      </w:pPr>
      <w:r>
        <w:rPr>
          <w:rFonts w:ascii="Verdana" w:hAnsi="Verdana" w:cs="Arial Narrow"/>
          <w:bCs/>
          <w:sz w:val="22"/>
          <w:szCs w:val="22"/>
        </w:rPr>
        <w:t>9) nakazuje się zagospodarowanie parku wzbogacić o elementy małej architektury podkreślającej kompozycję parku,</w:t>
      </w:r>
    </w:p>
    <w:p w14:paraId="456C1F3C" w14:textId="77777777" w:rsidR="00922B8B" w:rsidRDefault="00922B8B">
      <w:pPr>
        <w:pStyle w:val="Textbody"/>
        <w:tabs>
          <w:tab w:val="left" w:pos="1245"/>
          <w:tab w:val="left" w:pos="1335"/>
          <w:tab w:val="left" w:pos="1665"/>
        </w:tabs>
        <w:spacing w:after="0" w:line="240" w:lineRule="auto"/>
        <w:ind w:left="567"/>
        <w:jc w:val="both"/>
        <w:rPr>
          <w:rFonts w:ascii="Verdana" w:hAnsi="Verdana" w:cs="Arial Narrow"/>
          <w:b/>
          <w:sz w:val="22"/>
          <w:szCs w:val="22"/>
        </w:rPr>
      </w:pPr>
      <w:r>
        <w:rPr>
          <w:rFonts w:ascii="Verdana" w:hAnsi="Verdana" w:cs="Arial Narrow"/>
          <w:bCs/>
          <w:sz w:val="22"/>
          <w:szCs w:val="22"/>
        </w:rPr>
        <w:t>10) nakazuje się oświetlenie głównych alejek łączących wejścia do parku.</w:t>
      </w:r>
    </w:p>
    <w:p w14:paraId="5FF72559" w14:textId="77777777" w:rsidR="00922B8B" w:rsidRDefault="00922B8B">
      <w:pPr>
        <w:pStyle w:val="Textbody"/>
        <w:tabs>
          <w:tab w:val="left" w:pos="165"/>
          <w:tab w:val="left" w:pos="255"/>
          <w:tab w:val="left" w:pos="585"/>
        </w:tabs>
        <w:spacing w:before="120" w:after="0" w:line="240" w:lineRule="auto"/>
        <w:ind w:left="357"/>
        <w:jc w:val="both"/>
        <w:rPr>
          <w:rFonts w:ascii="Verdana" w:hAnsi="Verdana" w:cs="Arial Narrow"/>
          <w:sz w:val="22"/>
          <w:szCs w:val="22"/>
        </w:rPr>
      </w:pPr>
      <w:r>
        <w:rPr>
          <w:rFonts w:ascii="Verdana" w:hAnsi="Verdana" w:cs="Arial Narrow"/>
          <w:b/>
          <w:sz w:val="22"/>
          <w:szCs w:val="22"/>
        </w:rPr>
        <w:t>Strefa 2ZI – tereny zieleni izolacyjnej oznaczone symbolami 1ZI÷5ZI o łącznej powierzchni 4,1 ha</w:t>
      </w:r>
    </w:p>
    <w:p w14:paraId="2760BE65" w14:textId="77777777" w:rsidR="00922B8B" w:rsidRDefault="00922B8B">
      <w:pPr>
        <w:pStyle w:val="Textbody"/>
        <w:tabs>
          <w:tab w:val="left" w:pos="255"/>
          <w:tab w:val="left" w:pos="585"/>
        </w:tabs>
        <w:spacing w:after="0" w:line="240" w:lineRule="auto"/>
        <w:ind w:left="357"/>
        <w:jc w:val="both"/>
        <w:rPr>
          <w:rFonts w:ascii="Verdana" w:hAnsi="Verdana" w:cs="Arial Narrow"/>
          <w:sz w:val="22"/>
          <w:szCs w:val="22"/>
        </w:rPr>
      </w:pPr>
      <w:r>
        <w:rPr>
          <w:rFonts w:ascii="Verdana" w:hAnsi="Verdana" w:cs="Arial Narrow"/>
          <w:sz w:val="22"/>
          <w:szCs w:val="22"/>
        </w:rPr>
        <w:t>1. Przeznaczenie i zasady zagospodarowania terenów:</w:t>
      </w:r>
    </w:p>
    <w:p w14:paraId="4574F438" w14:textId="77777777" w:rsidR="00922B8B" w:rsidRDefault="00922B8B">
      <w:pPr>
        <w:pStyle w:val="Textbody"/>
        <w:tabs>
          <w:tab w:val="left" w:pos="1245"/>
          <w:tab w:val="left" w:pos="1335"/>
          <w:tab w:val="left" w:pos="1665"/>
        </w:tabs>
        <w:spacing w:after="0" w:line="240" w:lineRule="auto"/>
        <w:ind w:left="567"/>
        <w:jc w:val="both"/>
        <w:rPr>
          <w:rFonts w:ascii="Verdana" w:hAnsi="Verdana" w:cs="Arial Narrow"/>
          <w:sz w:val="22"/>
          <w:szCs w:val="22"/>
        </w:rPr>
      </w:pPr>
      <w:r>
        <w:rPr>
          <w:rFonts w:ascii="Verdana" w:hAnsi="Verdana" w:cs="Arial Narrow"/>
          <w:sz w:val="22"/>
          <w:szCs w:val="22"/>
        </w:rPr>
        <w:t>1) przeznaczenie podstawowe – tereny zieleni o funkcji izolacyjnej, krajobrazowej i bioklimatycznej,</w:t>
      </w:r>
    </w:p>
    <w:p w14:paraId="32C9E5C8" w14:textId="77777777" w:rsidR="00922B8B" w:rsidRDefault="00922B8B">
      <w:pPr>
        <w:pStyle w:val="Textbody"/>
        <w:tabs>
          <w:tab w:val="left" w:pos="1245"/>
          <w:tab w:val="left" w:pos="1335"/>
          <w:tab w:val="left" w:pos="1665"/>
        </w:tabs>
        <w:spacing w:after="0" w:line="240" w:lineRule="auto"/>
        <w:ind w:left="567"/>
        <w:jc w:val="both"/>
        <w:rPr>
          <w:rFonts w:ascii="Verdana" w:hAnsi="Verdana" w:cs="Arial Narrow"/>
          <w:sz w:val="22"/>
          <w:szCs w:val="22"/>
        </w:rPr>
      </w:pPr>
      <w:r>
        <w:rPr>
          <w:rFonts w:ascii="Verdana" w:hAnsi="Verdana" w:cs="Arial Narrow"/>
          <w:sz w:val="22"/>
          <w:szCs w:val="22"/>
        </w:rPr>
        <w:t>2) przeznaczenie uzupełniające:</w:t>
      </w:r>
    </w:p>
    <w:p w14:paraId="0680F08B" w14:textId="77777777" w:rsidR="00922B8B" w:rsidRDefault="00922B8B">
      <w:pPr>
        <w:pStyle w:val="Textbody"/>
        <w:tabs>
          <w:tab w:val="left" w:pos="1605"/>
          <w:tab w:val="left" w:pos="1695"/>
          <w:tab w:val="left" w:pos="2025"/>
        </w:tabs>
        <w:spacing w:after="0" w:line="240" w:lineRule="auto"/>
        <w:ind w:left="993"/>
        <w:jc w:val="both"/>
        <w:rPr>
          <w:rFonts w:ascii="Verdana" w:hAnsi="Verdana" w:cs="Arial Narrow"/>
          <w:sz w:val="22"/>
          <w:szCs w:val="22"/>
        </w:rPr>
      </w:pPr>
      <w:r>
        <w:rPr>
          <w:rFonts w:ascii="Verdana" w:hAnsi="Verdana" w:cs="Arial Narrow"/>
          <w:sz w:val="22"/>
          <w:szCs w:val="22"/>
        </w:rPr>
        <w:t>a) sieci i urządzenia infrastruktury technicznej, w tym lokalizacja stacji transformatorowych śn/nn na wydzielonych działkach,</w:t>
      </w:r>
    </w:p>
    <w:p w14:paraId="1B98B188" w14:textId="77777777" w:rsidR="00922B8B" w:rsidRDefault="00922B8B">
      <w:pPr>
        <w:pStyle w:val="Textbody"/>
        <w:tabs>
          <w:tab w:val="left" w:pos="1605"/>
          <w:tab w:val="left" w:pos="1695"/>
          <w:tab w:val="left" w:pos="2025"/>
        </w:tabs>
        <w:spacing w:after="0" w:line="240" w:lineRule="auto"/>
        <w:ind w:left="993"/>
        <w:jc w:val="both"/>
        <w:rPr>
          <w:rFonts w:ascii="Verdana" w:hAnsi="Verdana" w:cs="Arial Narrow"/>
          <w:sz w:val="22"/>
          <w:szCs w:val="22"/>
        </w:rPr>
      </w:pPr>
      <w:r>
        <w:rPr>
          <w:rFonts w:ascii="Verdana" w:hAnsi="Verdana" w:cs="Arial Narrow"/>
          <w:sz w:val="22"/>
          <w:szCs w:val="22"/>
        </w:rPr>
        <w:t>b) ścieżki piesze i rowerowe,</w:t>
      </w:r>
    </w:p>
    <w:p w14:paraId="4BDF6840" w14:textId="77777777" w:rsidR="00922B8B" w:rsidRDefault="00922B8B">
      <w:pPr>
        <w:pStyle w:val="Textbody"/>
        <w:tabs>
          <w:tab w:val="left" w:pos="1245"/>
          <w:tab w:val="left" w:pos="1335"/>
          <w:tab w:val="left" w:pos="1665"/>
        </w:tabs>
        <w:spacing w:after="0" w:line="240" w:lineRule="auto"/>
        <w:ind w:left="567"/>
        <w:jc w:val="both"/>
        <w:rPr>
          <w:rFonts w:ascii="Verdana" w:hAnsi="Verdana" w:cs="Arial Narrow"/>
          <w:sz w:val="22"/>
          <w:szCs w:val="22"/>
        </w:rPr>
      </w:pPr>
      <w:r>
        <w:rPr>
          <w:rFonts w:ascii="Verdana" w:hAnsi="Verdana" w:cs="Arial Narrow"/>
          <w:sz w:val="22"/>
          <w:szCs w:val="22"/>
        </w:rPr>
        <w:t>3) zasady zagospodarowania terenu:</w:t>
      </w:r>
    </w:p>
    <w:p w14:paraId="54AF41C8" w14:textId="77777777" w:rsidR="00922B8B" w:rsidRDefault="00922B8B">
      <w:pPr>
        <w:pStyle w:val="Textbody"/>
        <w:tabs>
          <w:tab w:val="left" w:pos="1605"/>
          <w:tab w:val="left" w:pos="1695"/>
          <w:tab w:val="left" w:pos="2025"/>
        </w:tabs>
        <w:spacing w:after="0" w:line="240" w:lineRule="auto"/>
        <w:ind w:left="993"/>
        <w:jc w:val="both"/>
        <w:rPr>
          <w:rFonts w:ascii="Verdana" w:hAnsi="Verdana" w:cs="Arial Narrow"/>
          <w:sz w:val="22"/>
          <w:szCs w:val="22"/>
        </w:rPr>
      </w:pPr>
      <w:r>
        <w:rPr>
          <w:rFonts w:ascii="Verdana" w:hAnsi="Verdana" w:cs="Arial Narrow"/>
          <w:sz w:val="22"/>
          <w:szCs w:val="22"/>
        </w:rPr>
        <w:t>a) nakazuje się kształtowanie zieleni wysokiej i niskiej jako założeń wielogatunkowych z uwzględnieniem całorocznych wysokich walorów izolacyjnych jak i estetycznych,</w:t>
      </w:r>
    </w:p>
    <w:p w14:paraId="627B6A06" w14:textId="77777777" w:rsidR="00922B8B" w:rsidRDefault="00922B8B">
      <w:pPr>
        <w:pStyle w:val="Textbody"/>
        <w:tabs>
          <w:tab w:val="left" w:pos="1605"/>
          <w:tab w:val="left" w:pos="1695"/>
          <w:tab w:val="left" w:pos="2025"/>
        </w:tabs>
        <w:spacing w:after="0" w:line="240" w:lineRule="auto"/>
        <w:ind w:left="993"/>
        <w:jc w:val="both"/>
        <w:rPr>
          <w:rFonts w:ascii="Verdana" w:hAnsi="Verdana" w:cs="Arial Narrow"/>
          <w:sz w:val="22"/>
          <w:szCs w:val="22"/>
        </w:rPr>
      </w:pPr>
      <w:r>
        <w:rPr>
          <w:rFonts w:ascii="Verdana" w:hAnsi="Verdana" w:cs="Arial Narrow"/>
          <w:sz w:val="22"/>
          <w:szCs w:val="22"/>
        </w:rPr>
        <w:t>b) zakazuje się wznoszenia obiektów kubaturowych z wyłączeniem ust. 2 pkt a,</w:t>
      </w:r>
    </w:p>
    <w:p w14:paraId="339F5640" w14:textId="77777777" w:rsidR="00922B8B" w:rsidRDefault="00922B8B">
      <w:pPr>
        <w:pStyle w:val="Textbody"/>
        <w:tabs>
          <w:tab w:val="left" w:pos="1605"/>
          <w:tab w:val="left" w:pos="1695"/>
          <w:tab w:val="left" w:pos="2025"/>
        </w:tabs>
        <w:spacing w:after="0" w:line="240" w:lineRule="auto"/>
        <w:ind w:left="993"/>
        <w:jc w:val="both"/>
        <w:rPr>
          <w:rFonts w:ascii="Verdana" w:eastAsia="Arial" w:hAnsi="Verdana" w:cs="Arial Narrow"/>
          <w:b/>
          <w:sz w:val="22"/>
          <w:szCs w:val="22"/>
          <w:lang w:eastAsia="ar-SA"/>
        </w:rPr>
      </w:pPr>
      <w:r>
        <w:rPr>
          <w:rFonts w:ascii="Verdana" w:hAnsi="Verdana" w:cs="Arial Narrow"/>
          <w:sz w:val="22"/>
          <w:szCs w:val="22"/>
        </w:rPr>
        <w:lastRenderedPageBreak/>
        <w:t xml:space="preserve">c) dopuszcza się lokalizację wolnostojących trwale związanych z gruntem nośników reklamowych o powierzchni do 6,0 </w:t>
      </w:r>
      <w:r>
        <w:rPr>
          <w:rFonts w:ascii="Verdana" w:eastAsia="Tahoma" w:hAnsi="Verdana" w:cs="Arial Narrow"/>
          <w:sz w:val="22"/>
          <w:szCs w:val="22"/>
          <w:lang w:eastAsia="ar-SA"/>
        </w:rPr>
        <w:t>m², w uzgodnieniu z zarządcą drogi, w ilości nie większej niż 3 sztuki na 1 km drogi.</w:t>
      </w:r>
    </w:p>
    <w:p w14:paraId="02BCA893" w14:textId="77777777" w:rsidR="00922B8B" w:rsidRDefault="00922B8B">
      <w:pPr>
        <w:pStyle w:val="Textbody"/>
        <w:tabs>
          <w:tab w:val="left" w:pos="165"/>
          <w:tab w:val="left" w:pos="255"/>
          <w:tab w:val="left" w:pos="585"/>
        </w:tabs>
        <w:spacing w:before="120" w:after="0" w:line="240" w:lineRule="auto"/>
        <w:jc w:val="both"/>
        <w:rPr>
          <w:rFonts w:ascii="Verdana" w:eastAsia="Arial" w:hAnsi="Verdana" w:cs="Arial Narrow"/>
          <w:b/>
          <w:sz w:val="22"/>
          <w:szCs w:val="22"/>
          <w:lang w:eastAsia="ar-SA"/>
        </w:rPr>
      </w:pPr>
    </w:p>
    <w:p w14:paraId="1A9BC248" w14:textId="77777777" w:rsidR="00922B8B" w:rsidRDefault="00922B8B">
      <w:pPr>
        <w:pStyle w:val="Textbody"/>
        <w:tabs>
          <w:tab w:val="left" w:pos="-405"/>
        </w:tabs>
        <w:spacing w:before="120" w:after="0" w:line="240" w:lineRule="auto"/>
        <w:ind w:left="357"/>
        <w:jc w:val="both"/>
        <w:rPr>
          <w:rFonts w:ascii="Verdana" w:eastAsia="Arial" w:hAnsi="Verdana" w:cs="Arial Narrow"/>
          <w:sz w:val="22"/>
          <w:szCs w:val="22"/>
        </w:rPr>
      </w:pPr>
      <w:r>
        <w:rPr>
          <w:rFonts w:ascii="Verdana" w:eastAsia="Tahoma" w:hAnsi="Verdana" w:cs="Arial Narrow"/>
          <w:color w:val="000000"/>
          <w:sz w:val="22"/>
          <w:szCs w:val="22"/>
        </w:rPr>
        <w:t>Szczegółowe informacje w przedmiocie obowiązującego dla przedmiotowej nieruchomości planu zagospodarowania przestrz</w:t>
      </w:r>
      <w:r>
        <w:rPr>
          <w:rFonts w:ascii="Verdana" w:eastAsia="Arial" w:hAnsi="Verdana" w:cs="Arial Narrow"/>
          <w:sz w:val="22"/>
          <w:szCs w:val="22"/>
        </w:rPr>
        <w:t>ennego oraz dopuszczalnego sposobu jej zagospodarowania uzyskać można w Wydziale Urbanistyki i Architektury Urzędu Miejskiego w Jaworznie, ul. Grunwaldzka 52 (tel. 32 61 81 624).</w:t>
      </w:r>
    </w:p>
    <w:p w14:paraId="64790472" w14:textId="77777777" w:rsidR="00922B8B" w:rsidRDefault="00922B8B">
      <w:pPr>
        <w:pStyle w:val="Textbody"/>
        <w:tabs>
          <w:tab w:val="left" w:pos="-405"/>
        </w:tabs>
        <w:spacing w:before="120" w:after="0" w:line="240" w:lineRule="auto"/>
        <w:ind w:left="357"/>
        <w:jc w:val="both"/>
        <w:rPr>
          <w:rFonts w:ascii="Verdana" w:hAnsi="Verdana" w:cs="Calibri"/>
          <w:b/>
          <w:bCs/>
          <w:sz w:val="22"/>
          <w:szCs w:val="22"/>
          <w:u w:val="single"/>
        </w:rPr>
      </w:pPr>
      <w:r>
        <w:rPr>
          <w:rFonts w:ascii="Verdana" w:eastAsia="Arial" w:hAnsi="Verdana" w:cs="Arial Narrow"/>
          <w:sz w:val="22"/>
          <w:szCs w:val="22"/>
        </w:rPr>
        <w:t xml:space="preserve">Zgodnie z Uchwałą nr IV/43/2024 Rady Miejskiej w Jaworznie z dnia 29 sierpnia 2024 r. przystąpiono do sporządzenia </w:t>
      </w:r>
      <w:r>
        <w:rPr>
          <w:rFonts w:ascii="Verdana" w:eastAsia="Arial" w:hAnsi="Verdana" w:cs="Arial Narrow"/>
          <w:b/>
          <w:bCs/>
          <w:sz w:val="22"/>
          <w:szCs w:val="22"/>
        </w:rPr>
        <w:t>miejscowego planu zagospodarowania przestrzennego w rejonie ul. Radwańskich w Jaworznie</w:t>
      </w:r>
      <w:r>
        <w:rPr>
          <w:rFonts w:ascii="Verdana" w:eastAsia="Arial" w:hAnsi="Verdana" w:cs="Arial Narrow"/>
          <w:sz w:val="22"/>
          <w:szCs w:val="22"/>
        </w:rPr>
        <w:t>, w granicach którego położona jest przeważająca część działki nr 4561 w obr. 1026. Informacje o procedurze związanej z pracami nad planem, zgodnej z ustawą o planowaniu i zagospodarowaniu przestrzennym są zamieszczane w prasie lokalnej, na tablicach ogłoszeń oraz w Biuletynie Informacji Publicznej Urzędu Miejskiego w Jaworznie.</w:t>
      </w:r>
    </w:p>
    <w:p w14:paraId="11AC746A" w14:textId="77777777" w:rsidR="00922B8B" w:rsidRDefault="00922B8B">
      <w:pPr>
        <w:pStyle w:val="Textbodyindent1"/>
        <w:spacing w:before="120"/>
        <w:ind w:left="425" w:firstLine="0"/>
        <w:rPr>
          <w:rFonts w:ascii="Verdana" w:eastAsia="Times New Roman" w:hAnsi="Verdana" w:cs="Verdana"/>
          <w:b/>
          <w:bCs/>
          <w:spacing w:val="-6"/>
          <w:sz w:val="22"/>
          <w:szCs w:val="22"/>
        </w:rPr>
      </w:pPr>
      <w:r>
        <w:rPr>
          <w:rFonts w:ascii="Verdana" w:hAnsi="Verdana" w:cs="Calibri"/>
          <w:b/>
          <w:bCs/>
          <w:sz w:val="22"/>
          <w:szCs w:val="22"/>
          <w:u w:val="single"/>
        </w:rPr>
        <w:t>Termin zagospodarowania nieruchomości:</w:t>
      </w:r>
      <w:r>
        <w:rPr>
          <w:rFonts w:ascii="Verdana" w:hAnsi="Verdana" w:cs="Calibri"/>
          <w:sz w:val="22"/>
          <w:szCs w:val="22"/>
        </w:rPr>
        <w:t xml:space="preserve"> wykonanie i oddanie do użytkowania obiektów w terminie 5 lat od wydania nieruchomości, potwierdzone decyzją pozwalającą na użytkowanie obiektu.</w:t>
      </w:r>
    </w:p>
    <w:p w14:paraId="1FFAC8AC" w14:textId="77777777" w:rsidR="00922B8B" w:rsidRDefault="00922B8B">
      <w:pPr>
        <w:pStyle w:val="Standard"/>
        <w:numPr>
          <w:ilvl w:val="0"/>
          <w:numId w:val="7"/>
        </w:numPr>
        <w:spacing w:before="120"/>
        <w:ind w:left="357" w:hanging="357"/>
        <w:jc w:val="both"/>
        <w:rPr>
          <w:rFonts w:ascii="Verdana" w:eastAsia="HG Mincho Light J" w:hAnsi="Verdana" w:cs="Verdana"/>
          <w:b/>
          <w:bCs/>
          <w:sz w:val="22"/>
          <w:szCs w:val="22"/>
        </w:rPr>
      </w:pPr>
      <w:r>
        <w:rPr>
          <w:rFonts w:ascii="Verdana" w:eastAsia="Times New Roman" w:hAnsi="Verdana" w:cs="Verdana"/>
          <w:b/>
          <w:bCs/>
          <w:spacing w:val="-6"/>
          <w:sz w:val="22"/>
          <w:szCs w:val="22"/>
        </w:rPr>
        <w:t>Przetarg na sprzedaż</w:t>
      </w:r>
      <w:r>
        <w:rPr>
          <w:rFonts w:ascii="Verdana" w:eastAsia="Times New Roman" w:hAnsi="Verdana" w:cs="Verdana"/>
          <w:spacing w:val="-6"/>
          <w:sz w:val="22"/>
          <w:szCs w:val="22"/>
        </w:rPr>
        <w:t xml:space="preserve"> </w:t>
      </w:r>
      <w:r>
        <w:rPr>
          <w:rFonts w:ascii="Verdana" w:hAnsi="Verdana" w:cs="Verdana"/>
          <w:b/>
          <w:sz w:val="22"/>
          <w:szCs w:val="22"/>
        </w:rPr>
        <w:t>nieruchomości odbędzie się</w:t>
      </w:r>
      <w:r>
        <w:rPr>
          <w:rFonts w:ascii="Verdana" w:hAnsi="Verdana" w:cs="Verdana"/>
          <w:sz w:val="22"/>
          <w:szCs w:val="22"/>
        </w:rPr>
        <w:t xml:space="preserve"> </w:t>
      </w:r>
      <w:r>
        <w:rPr>
          <w:rFonts w:ascii="Verdana" w:hAnsi="Verdana" w:cs="Verdana"/>
          <w:b/>
          <w:bCs/>
          <w:sz w:val="22"/>
          <w:szCs w:val="22"/>
        </w:rPr>
        <w:t>w dniu 04.07.2025 r. o godz. 10.00</w:t>
      </w:r>
      <w:r>
        <w:rPr>
          <w:rFonts w:ascii="Verdana" w:hAnsi="Verdana" w:cs="Verdana"/>
          <w:sz w:val="22"/>
          <w:szCs w:val="22"/>
        </w:rPr>
        <w:t xml:space="preserve"> </w:t>
      </w:r>
      <w:r>
        <w:rPr>
          <w:rFonts w:ascii="Verdana" w:hAnsi="Verdana" w:cs="Verdana"/>
          <w:b/>
          <w:bCs/>
          <w:sz w:val="22"/>
          <w:szCs w:val="22"/>
        </w:rPr>
        <w:t>w siedzibie</w:t>
      </w:r>
      <w:r>
        <w:rPr>
          <w:rFonts w:ascii="Verdana" w:hAnsi="Verdana" w:cs="Verdana"/>
          <w:sz w:val="22"/>
          <w:szCs w:val="22"/>
        </w:rPr>
        <w:t xml:space="preserve"> </w:t>
      </w:r>
      <w:r>
        <w:rPr>
          <w:rFonts w:ascii="Verdana" w:hAnsi="Verdana" w:cs="Verdana"/>
          <w:b/>
          <w:bCs/>
          <w:sz w:val="22"/>
          <w:szCs w:val="22"/>
        </w:rPr>
        <w:t>Katowickiej Specjalnej Strefy</w:t>
      </w:r>
      <w:r>
        <w:rPr>
          <w:rFonts w:ascii="Verdana" w:hAnsi="Verdana" w:cs="Verdana"/>
          <w:sz w:val="22"/>
          <w:szCs w:val="22"/>
        </w:rPr>
        <w:t xml:space="preserve"> </w:t>
      </w:r>
      <w:r>
        <w:rPr>
          <w:rFonts w:ascii="Verdana" w:hAnsi="Verdana" w:cs="Verdana"/>
          <w:b/>
          <w:bCs/>
          <w:sz w:val="22"/>
          <w:szCs w:val="22"/>
        </w:rPr>
        <w:t>Ekonomi</w:t>
      </w:r>
      <w:r>
        <w:rPr>
          <w:rFonts w:ascii="Verdana" w:hAnsi="Verdana" w:cs="Verdana"/>
          <w:b/>
          <w:bCs/>
          <w:sz w:val="22"/>
          <w:szCs w:val="22"/>
        </w:rPr>
        <w:t>cznej S.A. w Katowicach przy ul. Wojewódzkiej 42.</w:t>
      </w:r>
    </w:p>
    <w:p w14:paraId="72F130DE" w14:textId="77777777" w:rsidR="00922B8B" w:rsidRDefault="00922B8B">
      <w:pPr>
        <w:pStyle w:val="Standard"/>
        <w:numPr>
          <w:ilvl w:val="0"/>
          <w:numId w:val="7"/>
        </w:numPr>
        <w:ind w:left="357" w:hanging="357"/>
        <w:jc w:val="both"/>
        <w:rPr>
          <w:rStyle w:val="Brak"/>
          <w:rFonts w:ascii="Verdana" w:hAnsi="Verdana" w:cs="Verdana"/>
          <w:b/>
          <w:bCs/>
          <w:spacing w:val="-6"/>
          <w:sz w:val="22"/>
          <w:szCs w:val="22"/>
        </w:rPr>
      </w:pPr>
      <w:r>
        <w:rPr>
          <w:rFonts w:ascii="Verdana" w:eastAsia="HG Mincho Light J" w:hAnsi="Verdana" w:cs="Verdana"/>
          <w:b/>
          <w:bCs/>
          <w:sz w:val="22"/>
          <w:szCs w:val="22"/>
        </w:rPr>
        <w:t xml:space="preserve">Cena wywoławcza nieruchomości: 24.399.500,00 zł netto </w:t>
      </w:r>
      <w:r>
        <w:rPr>
          <w:rFonts w:ascii="Verdana" w:eastAsia="HG Mincho Light J" w:hAnsi="Verdana" w:cs="Verdana"/>
          <w:bCs/>
          <w:sz w:val="22"/>
          <w:szCs w:val="22"/>
        </w:rPr>
        <w:t>(</w:t>
      </w:r>
      <w:r>
        <w:rPr>
          <w:rFonts w:ascii="Verdana" w:hAnsi="Verdana" w:cs="Verdana"/>
          <w:sz w:val="22"/>
          <w:szCs w:val="22"/>
        </w:rPr>
        <w:t>dwadzieścia cztery miliony trzysta dziewięćdziesiąt dziewięć tysięcy pięćset złotych).</w:t>
      </w:r>
    </w:p>
    <w:p w14:paraId="29ECB24E" w14:textId="77777777" w:rsidR="00922B8B" w:rsidRDefault="00922B8B">
      <w:pPr>
        <w:pStyle w:val="Standarduser"/>
        <w:tabs>
          <w:tab w:val="left" w:pos="3000"/>
        </w:tabs>
        <w:ind w:left="357"/>
        <w:jc w:val="both"/>
        <w:rPr>
          <w:rStyle w:val="Brak"/>
          <w:rFonts w:ascii="Verdana" w:hAnsi="Verdana" w:cs="Verdana"/>
          <w:b/>
          <w:bCs/>
          <w:sz w:val="22"/>
          <w:szCs w:val="22"/>
        </w:rPr>
      </w:pPr>
      <w:r>
        <w:rPr>
          <w:rStyle w:val="Brak"/>
          <w:rFonts w:ascii="Verdana" w:hAnsi="Verdana" w:cs="Verdana"/>
          <w:b/>
          <w:bCs/>
          <w:spacing w:val="-6"/>
          <w:sz w:val="22"/>
          <w:szCs w:val="22"/>
        </w:rPr>
        <w:t>Dostawa części działki położonej w strefie 1PU – opodatkowana VAT, dostawa części działki położonych w strefach 2ZP i 2ZI – zwolniona z podatku VAT.</w:t>
      </w:r>
    </w:p>
    <w:p w14:paraId="78812556" w14:textId="77777777" w:rsidR="00922B8B" w:rsidRDefault="00922B8B">
      <w:pPr>
        <w:pStyle w:val="Standard"/>
        <w:ind w:left="357"/>
        <w:jc w:val="both"/>
        <w:rPr>
          <w:rFonts w:ascii="Verdana" w:eastAsia="Times New Roman" w:hAnsi="Verdana" w:cs="Verdana"/>
          <w:b/>
          <w:bCs/>
          <w:spacing w:val="-6"/>
          <w:sz w:val="22"/>
          <w:szCs w:val="22"/>
        </w:rPr>
      </w:pPr>
      <w:r>
        <w:rPr>
          <w:rStyle w:val="Brak"/>
          <w:rFonts w:ascii="Verdana" w:hAnsi="Verdana" w:cs="Verdana"/>
          <w:b/>
          <w:bCs/>
          <w:sz w:val="22"/>
          <w:szCs w:val="22"/>
        </w:rPr>
        <w:t>Oferowana cena nabycia nieruchomości musi być wyższa od ceny wywoławczej.</w:t>
      </w:r>
    </w:p>
    <w:p w14:paraId="0D824DA1" w14:textId="77777777" w:rsidR="00922B8B" w:rsidRDefault="00922B8B">
      <w:pPr>
        <w:pStyle w:val="Standard"/>
        <w:numPr>
          <w:ilvl w:val="0"/>
          <w:numId w:val="7"/>
        </w:numPr>
        <w:ind w:left="357" w:hanging="357"/>
        <w:jc w:val="both"/>
        <w:rPr>
          <w:rFonts w:ascii="Verdana" w:eastAsia="Times New Roman" w:hAnsi="Verdana" w:cs="Verdana"/>
          <w:sz w:val="22"/>
          <w:szCs w:val="22"/>
        </w:rPr>
      </w:pPr>
      <w:r>
        <w:rPr>
          <w:rFonts w:ascii="Verdana" w:eastAsia="Times New Roman" w:hAnsi="Verdana" w:cs="Verdana"/>
          <w:b/>
          <w:bCs/>
          <w:spacing w:val="-6"/>
          <w:sz w:val="22"/>
          <w:szCs w:val="22"/>
        </w:rPr>
        <w:t>Warunki uczestnictwa w przetargu:</w:t>
      </w:r>
    </w:p>
    <w:p w14:paraId="5AE8D6DA" w14:textId="77777777" w:rsidR="00922B8B" w:rsidRDefault="00922B8B">
      <w:pPr>
        <w:pStyle w:val="Standard"/>
        <w:numPr>
          <w:ilvl w:val="0"/>
          <w:numId w:val="4"/>
        </w:numPr>
        <w:ind w:left="714" w:hanging="357"/>
        <w:jc w:val="both"/>
        <w:rPr>
          <w:rFonts w:ascii="Verdana" w:eastAsia="Times New Roman" w:hAnsi="Verdana" w:cs="Verdana"/>
          <w:sz w:val="22"/>
          <w:szCs w:val="22"/>
        </w:rPr>
      </w:pPr>
      <w:r>
        <w:rPr>
          <w:rFonts w:ascii="Verdana" w:eastAsia="Times New Roman" w:hAnsi="Verdana" w:cs="Verdana"/>
          <w:sz w:val="22"/>
          <w:szCs w:val="22"/>
        </w:rPr>
        <w:t xml:space="preserve">Złożenie pisemnej oferty w dwóch egzemplarzach w zaklejonej kopercie z napisem: „Przetarg – prawo własności działki nr 4561 obr. geod. 1026 m. Jaworzna” w </w:t>
      </w:r>
      <w:r>
        <w:rPr>
          <w:rFonts w:ascii="Verdana" w:eastAsia="Times New Roman" w:hAnsi="Verdana" w:cs="Times New Roman"/>
          <w:sz w:val="22"/>
          <w:szCs w:val="22"/>
        </w:rPr>
        <w:t>siedzibie organizatora przetargu w Katowicach przy ul. Wojewódzkiej 42</w:t>
      </w:r>
      <w:r>
        <w:rPr>
          <w:rFonts w:ascii="Verdana" w:eastAsia="Times New Roman" w:hAnsi="Verdana" w:cs="Verdana"/>
          <w:sz w:val="22"/>
          <w:szCs w:val="22"/>
        </w:rPr>
        <w:t xml:space="preserve">, w terminie do dnia </w:t>
      </w:r>
      <w:r>
        <w:rPr>
          <w:rFonts w:ascii="Verdana" w:eastAsia="Times New Roman" w:hAnsi="Verdana" w:cs="Verdana"/>
          <w:b/>
          <w:bCs/>
          <w:sz w:val="22"/>
          <w:szCs w:val="22"/>
        </w:rPr>
        <w:t>30.06.2025 r. do godz. 16:00.</w:t>
      </w:r>
    </w:p>
    <w:p w14:paraId="31876055" w14:textId="77777777" w:rsidR="00922B8B" w:rsidRDefault="00922B8B">
      <w:pPr>
        <w:pStyle w:val="Standard"/>
        <w:numPr>
          <w:ilvl w:val="0"/>
          <w:numId w:val="4"/>
        </w:numPr>
        <w:ind w:left="714" w:hanging="357"/>
        <w:jc w:val="both"/>
        <w:rPr>
          <w:rFonts w:ascii="Verdana" w:hAnsi="Verdana" w:cs="Verdana"/>
          <w:bCs/>
          <w:sz w:val="22"/>
          <w:szCs w:val="22"/>
        </w:rPr>
      </w:pPr>
      <w:r>
        <w:rPr>
          <w:rFonts w:ascii="Verdana" w:eastAsia="Times New Roman" w:hAnsi="Verdana" w:cs="Verdana"/>
          <w:sz w:val="22"/>
          <w:szCs w:val="22"/>
        </w:rPr>
        <w:t xml:space="preserve">Wniesienie wadium w pieniądzu w wysokości </w:t>
      </w:r>
      <w:r>
        <w:rPr>
          <w:rFonts w:ascii="Verdana" w:eastAsia="Times New Roman" w:hAnsi="Verdana" w:cs="Verdana"/>
          <w:b/>
          <w:bCs/>
          <w:sz w:val="22"/>
          <w:szCs w:val="22"/>
        </w:rPr>
        <w:t>3.659.925,00 zł</w:t>
      </w:r>
      <w:r>
        <w:rPr>
          <w:rFonts w:ascii="Verdana" w:eastAsia="Times New Roman" w:hAnsi="Verdana" w:cs="Verdana"/>
          <w:sz w:val="22"/>
          <w:szCs w:val="22"/>
        </w:rPr>
        <w:t xml:space="preserve"> (słownie: trzy miliony sześćset pięćdziesiąt dziewięć tysięcy dziewięćset dwadzieścia pięć złotych), na rachunek bankowy Urzędu Miejskiego w Jaworznie, prowadzony</w:t>
      </w:r>
      <w:r>
        <w:rPr>
          <w:rFonts w:ascii="Verdana" w:eastAsia="Times New Roman" w:hAnsi="Verdana" w:cs="Verdana"/>
          <w:b/>
          <w:bCs/>
          <w:sz w:val="22"/>
          <w:szCs w:val="22"/>
        </w:rPr>
        <w:t xml:space="preserve"> w Banku Handlowym w Warszawie S.A. NRB 51 1030 1159 0000 0000 9206 6029 SUMY DEPOZYTOWE, z dopiskiem: „Przetarg pisemny – działka nr 4561 obr. 1026” w terminie do dnia 30.06.2025 r. Za potwierdzenie wpłaty przyjmuje się datę uznania rachunku bankowego Urzędu Miejskiego w Jaworznie.</w:t>
      </w:r>
    </w:p>
    <w:p w14:paraId="31876F60" w14:textId="77777777" w:rsidR="00922B8B" w:rsidRDefault="00922B8B">
      <w:pPr>
        <w:pStyle w:val="Standarduser"/>
        <w:ind w:left="717"/>
        <w:jc w:val="both"/>
        <w:rPr>
          <w:rFonts w:ascii="Verdana" w:hAnsi="Verdana" w:cs="Verdana"/>
          <w:sz w:val="22"/>
          <w:szCs w:val="22"/>
        </w:rPr>
      </w:pPr>
      <w:r>
        <w:rPr>
          <w:rFonts w:ascii="Verdana" w:hAnsi="Verdana" w:cs="Verdana"/>
          <w:bCs/>
          <w:sz w:val="22"/>
          <w:szCs w:val="22"/>
        </w:rPr>
        <w:t xml:space="preserve">Wadium wniesione w pieniądzu przez uczestnika przetargu, który przetarg wygra, zalicza się na poczet ceny nabycia nieruchomości. </w:t>
      </w:r>
      <w:r>
        <w:rPr>
          <w:rFonts w:ascii="Verdana" w:hAnsi="Verdana" w:cs="Verdana"/>
          <w:sz w:val="22"/>
          <w:szCs w:val="22"/>
        </w:rPr>
        <w:t>Pozostałym uczestnikom przetargu wadium zostanie zwrócone niezwłocznie, nie później niż przed upływem 3 dni od dnia odwołania, zamknięcia, unieważnienia lub zakończenia przetargu wynikiem negatywnym.</w:t>
      </w:r>
    </w:p>
    <w:p w14:paraId="33C88F31" w14:textId="77777777" w:rsidR="00922B8B" w:rsidRDefault="00922B8B">
      <w:pPr>
        <w:pStyle w:val="Standarduser"/>
        <w:ind w:left="717"/>
        <w:jc w:val="both"/>
        <w:rPr>
          <w:rFonts w:ascii="Verdana" w:eastAsia="Times New Roman" w:hAnsi="Verdana" w:cs="Verdana"/>
          <w:b/>
          <w:bCs/>
          <w:spacing w:val="-6"/>
          <w:sz w:val="22"/>
          <w:szCs w:val="22"/>
        </w:rPr>
      </w:pPr>
      <w:r>
        <w:rPr>
          <w:rFonts w:ascii="Verdana" w:hAnsi="Verdana" w:cs="Verdana"/>
          <w:sz w:val="22"/>
          <w:szCs w:val="22"/>
        </w:rPr>
        <w:t>W przypadku gdy uczestnik, który przetarg wygra nie przystąpi bez usprawiedliwienia do zawarcia umowy sprzedaży w formie aktu notarialnego, w ustalonym miejscu i terminie lub przystąpi, ale jej nie podpisze, Prezydent Miasta Jaworzna może odstąpić od zawarcia umowy, a wpłacone wadium nie podlega zwrotowi.</w:t>
      </w:r>
    </w:p>
    <w:p w14:paraId="302A120F" w14:textId="77777777" w:rsidR="00922B8B" w:rsidRDefault="00922B8B">
      <w:pPr>
        <w:pStyle w:val="Standard"/>
        <w:numPr>
          <w:ilvl w:val="0"/>
          <w:numId w:val="7"/>
        </w:numPr>
        <w:ind w:left="357" w:hanging="357"/>
        <w:jc w:val="both"/>
        <w:rPr>
          <w:rFonts w:ascii="Verdana" w:eastAsia="Times New Roman" w:hAnsi="Verdana" w:cs="Verdana"/>
          <w:b/>
          <w:bCs/>
          <w:sz w:val="22"/>
          <w:szCs w:val="22"/>
        </w:rPr>
      </w:pPr>
      <w:r>
        <w:rPr>
          <w:rFonts w:ascii="Verdana" w:eastAsia="Times New Roman" w:hAnsi="Verdana" w:cs="Verdana"/>
          <w:b/>
          <w:bCs/>
          <w:spacing w:val="-6"/>
          <w:sz w:val="22"/>
          <w:szCs w:val="22"/>
        </w:rPr>
        <w:t>Tryb przeprowadzenia przetargu:</w:t>
      </w:r>
    </w:p>
    <w:p w14:paraId="59039952" w14:textId="77777777" w:rsidR="00922B8B" w:rsidRDefault="00922B8B">
      <w:pPr>
        <w:pStyle w:val="Standard"/>
        <w:ind w:left="357"/>
        <w:jc w:val="both"/>
        <w:rPr>
          <w:rFonts w:ascii="Verdana" w:eastAsia="Times New Roman" w:hAnsi="Verdana" w:cs="Verdana"/>
          <w:b/>
          <w:bCs/>
          <w:sz w:val="22"/>
          <w:szCs w:val="22"/>
        </w:rPr>
      </w:pPr>
      <w:r>
        <w:rPr>
          <w:rFonts w:ascii="Verdana" w:eastAsia="Times New Roman" w:hAnsi="Verdana" w:cs="Verdana"/>
          <w:b/>
          <w:bCs/>
          <w:sz w:val="22"/>
          <w:szCs w:val="22"/>
        </w:rPr>
        <w:lastRenderedPageBreak/>
        <w:t>Przetarg składa się z dwóch części.</w:t>
      </w:r>
    </w:p>
    <w:p w14:paraId="7A1DD0C0" w14:textId="77777777" w:rsidR="00922B8B" w:rsidRDefault="00922B8B">
      <w:pPr>
        <w:pStyle w:val="Standard"/>
        <w:ind w:left="357"/>
        <w:jc w:val="both"/>
        <w:rPr>
          <w:rFonts w:ascii="Verdana" w:eastAsia="Times New Roman" w:hAnsi="Verdana" w:cs="Verdana"/>
          <w:sz w:val="22"/>
          <w:szCs w:val="22"/>
        </w:rPr>
      </w:pPr>
      <w:r>
        <w:rPr>
          <w:rFonts w:ascii="Verdana" w:eastAsia="Times New Roman" w:hAnsi="Verdana" w:cs="Verdana"/>
          <w:b/>
          <w:bCs/>
          <w:sz w:val="22"/>
          <w:szCs w:val="22"/>
        </w:rPr>
        <w:t>Część jawna przetargu, tj. otwarcie ofert, ich ocena formalna i ogłoszenie podmiotów zakwalifikowanych do części niejawnej przetargu odbędzie się w dniu 04.07.2025 r. o godz. 10:00 w siedzibie Katowickiej Specjalnej Strefy Ekonomicznej S.A. w Katowicach przy ul. Wojewódzkiej 42.</w:t>
      </w:r>
    </w:p>
    <w:p w14:paraId="64DE6084" w14:textId="77777777" w:rsidR="00922B8B" w:rsidRDefault="00922B8B">
      <w:pPr>
        <w:pStyle w:val="Standard"/>
        <w:ind w:left="357"/>
        <w:jc w:val="both"/>
        <w:rPr>
          <w:rFonts w:ascii="Verdana" w:eastAsia="Times New Roman" w:hAnsi="Verdana" w:cs="Verdana"/>
          <w:b/>
          <w:bCs/>
          <w:sz w:val="22"/>
          <w:szCs w:val="22"/>
        </w:rPr>
      </w:pPr>
      <w:r>
        <w:rPr>
          <w:rFonts w:ascii="Verdana" w:eastAsia="Times New Roman" w:hAnsi="Verdana" w:cs="Verdana"/>
          <w:sz w:val="22"/>
          <w:szCs w:val="22"/>
        </w:rPr>
        <w:t>Podczas części jawnej przetargu, w obecności oferentów, komisja poda informację o złożonych ofertach, dokona otwarcia kopert z ofertami, sprawdzi kompletność złożonych ofert oraz tożsamość osób, które złożyły oferty i ogłosi czy oferty zostały zakwalifikowane do części niejawnej przetargu. Komisja zawiadomi oferentów o terminie i miejscu części niejawnej przetargu oraz o przewidywanym terminie zamknięcia przetargu.</w:t>
      </w:r>
    </w:p>
    <w:p w14:paraId="42299114" w14:textId="77777777" w:rsidR="00922B8B" w:rsidRDefault="00922B8B">
      <w:pPr>
        <w:pStyle w:val="Standard"/>
        <w:ind w:left="357"/>
        <w:jc w:val="both"/>
        <w:rPr>
          <w:rFonts w:ascii="Verdana" w:eastAsia="Times New Roman" w:hAnsi="Verdana" w:cs="Verdana"/>
          <w:sz w:val="22"/>
          <w:szCs w:val="22"/>
        </w:rPr>
      </w:pPr>
      <w:r>
        <w:rPr>
          <w:rFonts w:ascii="Verdana" w:eastAsia="Times New Roman" w:hAnsi="Verdana" w:cs="Verdana"/>
          <w:b/>
          <w:bCs/>
          <w:sz w:val="22"/>
          <w:szCs w:val="22"/>
        </w:rPr>
        <w:t>W części niejawnej przetargu</w:t>
      </w:r>
      <w:r>
        <w:rPr>
          <w:rFonts w:ascii="Verdana" w:eastAsia="Times New Roman" w:hAnsi="Verdana" w:cs="Verdana"/>
          <w:sz w:val="22"/>
          <w:szCs w:val="22"/>
        </w:rPr>
        <w:t xml:space="preserve"> Komisja ocenia zgłoszone oferty. Ocena zamierzeń, co do przedsięwzięć gospodarczych planowanych do realizacji na nieruchomości, przedstawionych w ofertach oraz wybór oferty dokonane są przez Komisję w oparciu o kryteria oceny określone w ogłoszeniu.</w:t>
      </w:r>
    </w:p>
    <w:p w14:paraId="4FAF8009" w14:textId="77777777" w:rsidR="00922B8B" w:rsidRDefault="00922B8B">
      <w:pPr>
        <w:pStyle w:val="Standard"/>
        <w:ind w:left="357"/>
        <w:jc w:val="both"/>
        <w:rPr>
          <w:rFonts w:ascii="Verdana" w:eastAsia="Times New Roman" w:hAnsi="Verdana" w:cs="Verdana"/>
          <w:sz w:val="22"/>
          <w:szCs w:val="22"/>
        </w:rPr>
      </w:pPr>
      <w:r>
        <w:rPr>
          <w:rFonts w:ascii="Verdana" w:eastAsia="Times New Roman" w:hAnsi="Verdana" w:cs="Verdana"/>
          <w:sz w:val="22"/>
          <w:szCs w:val="22"/>
        </w:rPr>
        <w:t>Przetarg uważa się za zamknięty z chwilą podpisania protokołu.</w:t>
      </w:r>
    </w:p>
    <w:p w14:paraId="1ACFB5F5" w14:textId="77777777" w:rsidR="00922B8B" w:rsidRDefault="00922B8B">
      <w:pPr>
        <w:pStyle w:val="Standard"/>
        <w:ind w:left="357"/>
        <w:jc w:val="both"/>
        <w:rPr>
          <w:rFonts w:ascii="Verdana" w:eastAsia="Times New Roman" w:hAnsi="Verdana" w:cs="Verdana"/>
          <w:b/>
          <w:bCs/>
          <w:sz w:val="22"/>
          <w:szCs w:val="22"/>
        </w:rPr>
      </w:pPr>
      <w:r>
        <w:rPr>
          <w:rFonts w:ascii="Verdana" w:eastAsia="Times New Roman" w:hAnsi="Verdana" w:cs="Verdana"/>
          <w:sz w:val="22"/>
          <w:szCs w:val="22"/>
        </w:rPr>
        <w:t>Przewodniczący komisji przetargowej zawiadamia na piśmie wszystkich, którzy złożyli oferty, o wyniku przetargu w terminie nie dłuższym niż 3 dni od dnia zamknięcia przetargu.</w:t>
      </w:r>
    </w:p>
    <w:p w14:paraId="2D8445EE" w14:textId="77777777" w:rsidR="00922B8B" w:rsidRDefault="00922B8B">
      <w:pPr>
        <w:pStyle w:val="Standard"/>
        <w:numPr>
          <w:ilvl w:val="0"/>
          <w:numId w:val="7"/>
        </w:numPr>
        <w:ind w:left="357" w:hanging="357"/>
        <w:jc w:val="both"/>
        <w:rPr>
          <w:rFonts w:ascii="Verdana" w:eastAsia="Times New Roman" w:hAnsi="Verdana" w:cs="Verdana"/>
          <w:sz w:val="22"/>
          <w:szCs w:val="22"/>
        </w:rPr>
      </w:pPr>
      <w:r>
        <w:rPr>
          <w:rFonts w:ascii="Verdana" w:eastAsia="Times New Roman" w:hAnsi="Verdana" w:cs="Verdana"/>
          <w:b/>
          <w:bCs/>
          <w:sz w:val="22"/>
          <w:szCs w:val="22"/>
        </w:rPr>
        <w:t>Sposób przygotowania oferty:</w:t>
      </w:r>
    </w:p>
    <w:p w14:paraId="467B91B4" w14:textId="77777777" w:rsidR="00922B8B" w:rsidRDefault="00922B8B">
      <w:pPr>
        <w:pStyle w:val="Standard"/>
        <w:ind w:left="357"/>
        <w:jc w:val="both"/>
        <w:rPr>
          <w:rFonts w:ascii="Verdana" w:eastAsia="Times New Roman" w:hAnsi="Verdana" w:cs="Verdana"/>
          <w:sz w:val="22"/>
          <w:szCs w:val="22"/>
        </w:rPr>
      </w:pPr>
      <w:r>
        <w:rPr>
          <w:rFonts w:ascii="Verdana" w:eastAsia="Times New Roman" w:hAnsi="Verdana" w:cs="Verdana"/>
          <w:sz w:val="22"/>
          <w:szCs w:val="22"/>
        </w:rPr>
        <w:t>Oferta musi zawierać:</w:t>
      </w:r>
    </w:p>
    <w:p w14:paraId="0D9182DB" w14:textId="77777777" w:rsidR="00922B8B" w:rsidRDefault="00922B8B">
      <w:pPr>
        <w:pStyle w:val="Standard"/>
        <w:numPr>
          <w:ilvl w:val="0"/>
          <w:numId w:val="8"/>
        </w:numPr>
        <w:ind w:left="867" w:hanging="510"/>
        <w:jc w:val="both"/>
        <w:rPr>
          <w:rFonts w:ascii="Verdana" w:eastAsia="Times New Roman" w:hAnsi="Verdana" w:cs="Verdana"/>
          <w:sz w:val="22"/>
          <w:szCs w:val="22"/>
        </w:rPr>
      </w:pPr>
      <w:r>
        <w:rPr>
          <w:rFonts w:ascii="Verdana" w:eastAsia="Times New Roman" w:hAnsi="Verdana" w:cs="Verdana"/>
          <w:sz w:val="22"/>
          <w:szCs w:val="22"/>
        </w:rPr>
        <w:t>Imię, nazwisko i adres Oferenta - w przypadku osób fizycznych, nazwę i siedzibę Oferenta – w przypadku innych podmiotów, numer NIP, wyciąg z właściwego dla danego podmiotu rejestru;</w:t>
      </w:r>
    </w:p>
    <w:p w14:paraId="2255C495" w14:textId="77777777" w:rsidR="00922B8B" w:rsidRDefault="00922B8B">
      <w:pPr>
        <w:pStyle w:val="Standard"/>
        <w:widowControl w:val="0"/>
        <w:numPr>
          <w:ilvl w:val="0"/>
          <w:numId w:val="8"/>
        </w:numPr>
        <w:ind w:left="867" w:hanging="510"/>
        <w:jc w:val="both"/>
        <w:rPr>
          <w:rFonts w:ascii="Verdana" w:eastAsia="Times New Roman" w:hAnsi="Verdana" w:cs="Verdana"/>
          <w:sz w:val="22"/>
          <w:szCs w:val="22"/>
        </w:rPr>
      </w:pPr>
      <w:r>
        <w:rPr>
          <w:rFonts w:ascii="Verdana" w:eastAsia="Times New Roman" w:hAnsi="Verdana" w:cs="Verdana"/>
          <w:sz w:val="22"/>
          <w:szCs w:val="22"/>
        </w:rPr>
        <w:t>Zgodę organów statutowych na nabycie nieruchomości objętej przetargiem;</w:t>
      </w:r>
    </w:p>
    <w:p w14:paraId="4F63445F" w14:textId="77777777" w:rsidR="00922B8B" w:rsidRDefault="00922B8B">
      <w:pPr>
        <w:pStyle w:val="Standard"/>
        <w:widowControl w:val="0"/>
        <w:numPr>
          <w:ilvl w:val="0"/>
          <w:numId w:val="8"/>
        </w:numPr>
        <w:ind w:left="867" w:hanging="510"/>
        <w:jc w:val="both"/>
        <w:rPr>
          <w:rFonts w:ascii="Verdana" w:eastAsia="Times New Roman" w:hAnsi="Verdana" w:cs="Verdana"/>
          <w:sz w:val="22"/>
          <w:szCs w:val="22"/>
        </w:rPr>
      </w:pPr>
      <w:r>
        <w:rPr>
          <w:rFonts w:ascii="Verdana" w:eastAsia="Times New Roman" w:hAnsi="Verdana" w:cs="Verdana"/>
          <w:sz w:val="22"/>
          <w:szCs w:val="22"/>
        </w:rPr>
        <w:t>Datę sporządzenia oferty;</w:t>
      </w:r>
    </w:p>
    <w:p w14:paraId="2E42CBDA" w14:textId="77777777" w:rsidR="00922B8B" w:rsidRDefault="00922B8B">
      <w:pPr>
        <w:pStyle w:val="Standard"/>
        <w:widowControl w:val="0"/>
        <w:numPr>
          <w:ilvl w:val="0"/>
          <w:numId w:val="8"/>
        </w:numPr>
        <w:ind w:left="867" w:hanging="510"/>
        <w:jc w:val="both"/>
        <w:rPr>
          <w:rFonts w:ascii="Verdana" w:eastAsia="Times New Roman" w:hAnsi="Verdana" w:cs="Verdana"/>
          <w:sz w:val="22"/>
          <w:szCs w:val="22"/>
        </w:rPr>
      </w:pPr>
      <w:r>
        <w:rPr>
          <w:rFonts w:ascii="Verdana" w:eastAsia="Times New Roman" w:hAnsi="Verdana" w:cs="Verdana"/>
          <w:sz w:val="22"/>
          <w:szCs w:val="22"/>
        </w:rPr>
        <w:t>Koncepcję zagospodarowania nieruchomości stanowiącej przedmiot przetargu wraz z opisem planowanej działalności;</w:t>
      </w:r>
    </w:p>
    <w:p w14:paraId="53932DC8" w14:textId="77777777" w:rsidR="00922B8B" w:rsidRDefault="00922B8B">
      <w:pPr>
        <w:pStyle w:val="Standard"/>
        <w:widowControl w:val="0"/>
        <w:numPr>
          <w:ilvl w:val="0"/>
          <w:numId w:val="8"/>
        </w:numPr>
        <w:ind w:left="867" w:hanging="510"/>
        <w:jc w:val="both"/>
        <w:rPr>
          <w:rFonts w:ascii="Verdana" w:eastAsia="Times New Roman" w:hAnsi="Verdana" w:cs="Verdana"/>
          <w:sz w:val="22"/>
          <w:szCs w:val="22"/>
        </w:rPr>
      </w:pPr>
      <w:r>
        <w:rPr>
          <w:rFonts w:ascii="Verdana" w:eastAsia="Times New Roman" w:hAnsi="Verdana" w:cs="Verdana"/>
          <w:sz w:val="22"/>
          <w:szCs w:val="22"/>
        </w:rPr>
        <w:t>Dowód wniesienia wadium w oddzielnej, zaklejonej kopercie;</w:t>
      </w:r>
    </w:p>
    <w:p w14:paraId="5050255A" w14:textId="77777777" w:rsidR="00922B8B" w:rsidRDefault="00922B8B">
      <w:pPr>
        <w:pStyle w:val="Standard"/>
        <w:widowControl w:val="0"/>
        <w:numPr>
          <w:ilvl w:val="0"/>
          <w:numId w:val="8"/>
        </w:numPr>
        <w:ind w:left="867" w:hanging="510"/>
        <w:jc w:val="both"/>
        <w:rPr>
          <w:rFonts w:ascii="Verdana" w:eastAsia="Times New Roman" w:hAnsi="Verdana" w:cs="Verdana"/>
          <w:sz w:val="22"/>
          <w:szCs w:val="22"/>
        </w:rPr>
      </w:pPr>
      <w:r>
        <w:rPr>
          <w:rFonts w:ascii="Verdana" w:eastAsia="Times New Roman" w:hAnsi="Verdana" w:cs="Verdana"/>
          <w:sz w:val="22"/>
          <w:szCs w:val="22"/>
        </w:rPr>
        <w:t>Oferowaną cenę wyższą od ceny wywoławczej,</w:t>
      </w:r>
    </w:p>
    <w:p w14:paraId="2DB5C36A" w14:textId="77777777" w:rsidR="00922B8B" w:rsidRDefault="00922B8B">
      <w:pPr>
        <w:pStyle w:val="Standard"/>
        <w:widowControl w:val="0"/>
        <w:numPr>
          <w:ilvl w:val="0"/>
          <w:numId w:val="8"/>
        </w:numPr>
        <w:ind w:left="867" w:hanging="510"/>
        <w:jc w:val="both"/>
        <w:rPr>
          <w:rFonts w:ascii="Verdana" w:eastAsia="Times New Roman" w:hAnsi="Verdana" w:cs="Verdana"/>
          <w:sz w:val="22"/>
          <w:szCs w:val="22"/>
        </w:rPr>
      </w:pPr>
      <w:r>
        <w:rPr>
          <w:rFonts w:ascii="Verdana" w:eastAsia="Times New Roman" w:hAnsi="Verdana" w:cs="Verdana"/>
          <w:sz w:val="22"/>
          <w:szCs w:val="22"/>
        </w:rPr>
        <w:t>Oświadczenie o prowadzonej dotychczas działalności, w tym o zrealizowanych projektach inwestycyjnych;</w:t>
      </w:r>
    </w:p>
    <w:p w14:paraId="31168B8E" w14:textId="77777777" w:rsidR="00922B8B" w:rsidRDefault="00922B8B">
      <w:pPr>
        <w:pStyle w:val="Standard"/>
        <w:widowControl w:val="0"/>
        <w:numPr>
          <w:ilvl w:val="0"/>
          <w:numId w:val="8"/>
        </w:numPr>
        <w:ind w:left="867" w:hanging="510"/>
        <w:jc w:val="both"/>
        <w:rPr>
          <w:rFonts w:ascii="Verdana" w:eastAsia="Times New Roman" w:hAnsi="Verdana" w:cs="Verdana"/>
          <w:sz w:val="22"/>
          <w:szCs w:val="22"/>
        </w:rPr>
      </w:pPr>
      <w:r>
        <w:rPr>
          <w:rFonts w:ascii="Verdana" w:eastAsia="Times New Roman" w:hAnsi="Verdana" w:cs="Verdana"/>
          <w:sz w:val="22"/>
          <w:szCs w:val="22"/>
        </w:rPr>
        <w:t>Oświadczenie, że Oferent zapoznał się z warunkami przetargu i przyjmuje te warunki bez zastrzeżeń;</w:t>
      </w:r>
    </w:p>
    <w:p w14:paraId="48F49C74" w14:textId="77777777" w:rsidR="00922B8B" w:rsidRDefault="00922B8B">
      <w:pPr>
        <w:pStyle w:val="Standard"/>
        <w:widowControl w:val="0"/>
        <w:numPr>
          <w:ilvl w:val="0"/>
          <w:numId w:val="8"/>
        </w:numPr>
        <w:ind w:left="867" w:hanging="510"/>
        <w:jc w:val="both"/>
        <w:rPr>
          <w:rFonts w:ascii="Verdana" w:eastAsia="Times New Roman" w:hAnsi="Verdana" w:cs="Verdana"/>
          <w:sz w:val="22"/>
          <w:szCs w:val="22"/>
        </w:rPr>
      </w:pPr>
      <w:r>
        <w:rPr>
          <w:rFonts w:ascii="Verdana" w:eastAsia="Times New Roman" w:hAnsi="Verdana" w:cs="Verdana"/>
          <w:sz w:val="22"/>
          <w:szCs w:val="22"/>
        </w:rPr>
        <w:t>Oświadczenie Oferenta o zapoznaniu się z ogłoszeniem o przetargu;</w:t>
      </w:r>
    </w:p>
    <w:p w14:paraId="6B22EE1F" w14:textId="77777777" w:rsidR="00922B8B" w:rsidRDefault="00922B8B">
      <w:pPr>
        <w:pStyle w:val="Standard"/>
        <w:widowControl w:val="0"/>
        <w:numPr>
          <w:ilvl w:val="0"/>
          <w:numId w:val="8"/>
        </w:numPr>
        <w:ind w:left="867" w:hanging="510"/>
        <w:jc w:val="both"/>
        <w:rPr>
          <w:rFonts w:ascii="Verdana" w:eastAsia="Times New Roman" w:hAnsi="Verdana" w:cs="Verdana"/>
          <w:sz w:val="22"/>
          <w:szCs w:val="22"/>
        </w:rPr>
      </w:pPr>
      <w:r>
        <w:rPr>
          <w:rFonts w:ascii="Verdana" w:eastAsia="Times New Roman" w:hAnsi="Verdana" w:cs="Verdana"/>
          <w:sz w:val="22"/>
          <w:szCs w:val="22"/>
        </w:rPr>
        <w:t>Oświadczenie Oferenta o zapoznaniu się z treścią ustaleń miejscowego planu zagospodarowania przestrzennego;</w:t>
      </w:r>
    </w:p>
    <w:p w14:paraId="36160F40" w14:textId="77777777" w:rsidR="00922B8B" w:rsidRDefault="00922B8B">
      <w:pPr>
        <w:pStyle w:val="Standard"/>
        <w:widowControl w:val="0"/>
        <w:numPr>
          <w:ilvl w:val="0"/>
          <w:numId w:val="8"/>
        </w:numPr>
        <w:ind w:left="867" w:hanging="510"/>
        <w:jc w:val="both"/>
        <w:rPr>
          <w:rFonts w:ascii="Verdana" w:eastAsia="Times New Roman" w:hAnsi="Verdana" w:cs="Verdana"/>
          <w:sz w:val="22"/>
          <w:szCs w:val="22"/>
        </w:rPr>
      </w:pPr>
      <w:r>
        <w:rPr>
          <w:rFonts w:ascii="Verdana" w:eastAsia="Times New Roman" w:hAnsi="Verdana" w:cs="Verdana"/>
          <w:sz w:val="22"/>
          <w:szCs w:val="22"/>
        </w:rPr>
        <w:t>Oświadczenie, iż Oferent zapoznał się ze stanem prawnym i faktycznym nieruchomości będącej przedmiotem przetargu i nie wnosi do niego żadnych zastrzeżeń oraz wyraża zgodę na wyłączenie rękojmi za wady fizyczne nieruchomości na zasadzie art. 558 § 1 KC;</w:t>
      </w:r>
    </w:p>
    <w:p w14:paraId="0753EAFC" w14:textId="77777777" w:rsidR="00922B8B" w:rsidRDefault="00922B8B">
      <w:pPr>
        <w:pStyle w:val="Standard"/>
        <w:widowControl w:val="0"/>
        <w:numPr>
          <w:ilvl w:val="0"/>
          <w:numId w:val="8"/>
        </w:numPr>
        <w:ind w:left="867" w:hanging="510"/>
        <w:jc w:val="both"/>
        <w:rPr>
          <w:rFonts w:ascii="Verdana" w:eastAsia="Times New Roman" w:hAnsi="Verdana" w:cs="Verdana"/>
          <w:sz w:val="22"/>
          <w:szCs w:val="22"/>
        </w:rPr>
      </w:pPr>
      <w:r>
        <w:rPr>
          <w:rFonts w:ascii="Verdana" w:eastAsia="Times New Roman" w:hAnsi="Verdana" w:cs="Verdana"/>
          <w:sz w:val="22"/>
          <w:szCs w:val="22"/>
        </w:rPr>
        <w:t>Oświadczenie, że przeciwko Oferentowi ani członkom jego Zarządu toczy / nie toczy się postępowanie karne / karno-skarbowe / egzekucyjne;</w:t>
      </w:r>
    </w:p>
    <w:p w14:paraId="396A8C21" w14:textId="77777777" w:rsidR="00922B8B" w:rsidRDefault="00922B8B">
      <w:pPr>
        <w:pStyle w:val="Standard"/>
        <w:widowControl w:val="0"/>
        <w:numPr>
          <w:ilvl w:val="0"/>
          <w:numId w:val="8"/>
        </w:numPr>
        <w:ind w:left="867" w:hanging="510"/>
        <w:jc w:val="both"/>
        <w:rPr>
          <w:rFonts w:ascii="Verdana" w:eastAsia="Times New Roman" w:hAnsi="Verdana" w:cs="Verdana"/>
          <w:sz w:val="22"/>
          <w:szCs w:val="22"/>
        </w:rPr>
      </w:pPr>
      <w:r>
        <w:rPr>
          <w:rFonts w:ascii="Verdana" w:eastAsia="Times New Roman" w:hAnsi="Verdana" w:cs="Verdana"/>
          <w:sz w:val="22"/>
          <w:szCs w:val="22"/>
        </w:rPr>
        <w:t>Oświadczenie, iż Oferent nie zalega w Rzeczpospolitej Polskiej z wpłatami z tytułu składek na rzecz ZUS oraz podatków;</w:t>
      </w:r>
    </w:p>
    <w:p w14:paraId="478EABE0" w14:textId="77777777" w:rsidR="00922B8B" w:rsidRDefault="00922B8B">
      <w:pPr>
        <w:pStyle w:val="Standard"/>
        <w:widowControl w:val="0"/>
        <w:numPr>
          <w:ilvl w:val="0"/>
          <w:numId w:val="8"/>
        </w:numPr>
        <w:ind w:left="867" w:hanging="510"/>
        <w:jc w:val="both"/>
        <w:rPr>
          <w:rFonts w:ascii="Verdana" w:eastAsia="Times New Roman" w:hAnsi="Verdana" w:cs="Verdana"/>
          <w:sz w:val="22"/>
          <w:szCs w:val="22"/>
        </w:rPr>
      </w:pPr>
      <w:r>
        <w:rPr>
          <w:rFonts w:ascii="Verdana" w:eastAsia="Times New Roman" w:hAnsi="Verdana" w:cs="Verdana"/>
          <w:sz w:val="22"/>
          <w:szCs w:val="22"/>
        </w:rPr>
        <w:t>Oświadczenie, iż Oferent poniesie wszelkie koszty, podatki i opłaty związane z zawarciem umowy sprzedaży;</w:t>
      </w:r>
    </w:p>
    <w:p w14:paraId="47647AB4" w14:textId="77777777" w:rsidR="00922B8B" w:rsidRDefault="00922B8B">
      <w:pPr>
        <w:pStyle w:val="Standard"/>
        <w:widowControl w:val="0"/>
        <w:numPr>
          <w:ilvl w:val="0"/>
          <w:numId w:val="8"/>
        </w:numPr>
        <w:ind w:left="867" w:hanging="510"/>
        <w:jc w:val="both"/>
        <w:rPr>
          <w:rFonts w:ascii="Verdana" w:eastAsia="Times New Roman" w:hAnsi="Verdana" w:cs="Verdana"/>
          <w:sz w:val="22"/>
          <w:szCs w:val="22"/>
        </w:rPr>
      </w:pPr>
      <w:r>
        <w:rPr>
          <w:rFonts w:ascii="Verdana" w:eastAsia="Times New Roman" w:hAnsi="Verdana" w:cs="Verdana"/>
          <w:sz w:val="22"/>
          <w:szCs w:val="22"/>
        </w:rPr>
        <w:t>Oświadczenie Oferenta, że jego sytuacja ekonomiczna i finansowa, w szczególności posiadanie środków finansowych, gwarantuje płatność ceny sprzedaży nieruchomości;</w:t>
      </w:r>
    </w:p>
    <w:p w14:paraId="74C42C6B" w14:textId="77777777" w:rsidR="00922B8B" w:rsidRDefault="00922B8B">
      <w:pPr>
        <w:pStyle w:val="Standard"/>
        <w:widowControl w:val="0"/>
        <w:numPr>
          <w:ilvl w:val="0"/>
          <w:numId w:val="8"/>
        </w:numPr>
        <w:ind w:left="867" w:hanging="510"/>
        <w:jc w:val="both"/>
        <w:rPr>
          <w:rFonts w:ascii="Verdana" w:eastAsia="Times New Roman" w:hAnsi="Verdana" w:cs="Verdana"/>
          <w:sz w:val="22"/>
          <w:szCs w:val="22"/>
        </w:rPr>
      </w:pPr>
      <w:r>
        <w:rPr>
          <w:rFonts w:ascii="Verdana" w:eastAsia="Times New Roman" w:hAnsi="Verdana" w:cs="Verdana"/>
          <w:sz w:val="22"/>
          <w:szCs w:val="22"/>
        </w:rPr>
        <w:t>Oświadczenie Oferenta, iż akceptuje termin związania ofertą, nie krótszy niż 6 miesięcy;</w:t>
      </w:r>
    </w:p>
    <w:p w14:paraId="24E90DB1" w14:textId="77777777" w:rsidR="00922B8B" w:rsidRDefault="00922B8B">
      <w:pPr>
        <w:pStyle w:val="Standard"/>
        <w:widowControl w:val="0"/>
        <w:numPr>
          <w:ilvl w:val="0"/>
          <w:numId w:val="8"/>
        </w:numPr>
        <w:ind w:left="867" w:hanging="510"/>
        <w:jc w:val="both"/>
        <w:rPr>
          <w:rFonts w:ascii="Verdana" w:eastAsia="Times New Roman" w:hAnsi="Verdana" w:cs="Verdana"/>
          <w:sz w:val="22"/>
          <w:szCs w:val="22"/>
        </w:rPr>
      </w:pPr>
      <w:r>
        <w:rPr>
          <w:rFonts w:ascii="Verdana" w:eastAsia="Times New Roman" w:hAnsi="Verdana" w:cs="Verdana"/>
          <w:sz w:val="22"/>
          <w:szCs w:val="22"/>
        </w:rPr>
        <w:t xml:space="preserve">Oświadczenie, iż Oferent dobrowolnie i na własny koszt oraz ryzyko przystępuje do postępowania zmierzającego do zawarcia umowy sprzedaży, </w:t>
      </w:r>
      <w:r>
        <w:rPr>
          <w:rFonts w:ascii="Verdana" w:eastAsia="Times New Roman" w:hAnsi="Verdana" w:cs="Verdana"/>
          <w:sz w:val="22"/>
          <w:szCs w:val="22"/>
        </w:rPr>
        <w:lastRenderedPageBreak/>
        <w:t>zrzeka się wszelkich roszczeń w związku z prowadzonym postępowaniem na pozyskanie kontrahenta, zakończeniem postępowania bez dokonania wyboru oraz że ponosi wszelkie koszty związane z przygotowaniem oferty i uczestnictwem w przetargu bez prawa żądania ich zwrotu;</w:t>
      </w:r>
    </w:p>
    <w:p w14:paraId="1BBF0CDB" w14:textId="77777777" w:rsidR="00922B8B" w:rsidRPr="00BD7564" w:rsidRDefault="00922B8B">
      <w:pPr>
        <w:pStyle w:val="Standard"/>
        <w:widowControl w:val="0"/>
        <w:numPr>
          <w:ilvl w:val="0"/>
          <w:numId w:val="8"/>
        </w:numPr>
        <w:ind w:left="867" w:hanging="510"/>
        <w:jc w:val="both"/>
        <w:rPr>
          <w:rFonts w:ascii="Verdana" w:hAnsi="Verdana" w:cs="Verdana"/>
          <w:color w:val="000000"/>
          <w:sz w:val="22"/>
          <w:szCs w:val="22"/>
        </w:rPr>
      </w:pPr>
      <w:r>
        <w:rPr>
          <w:rFonts w:ascii="Verdana" w:eastAsia="Times New Roman" w:hAnsi="Verdana" w:cs="Verdana"/>
          <w:sz w:val="22"/>
          <w:szCs w:val="22"/>
        </w:rPr>
        <w:t xml:space="preserve">Oświadczenie, w którym Oferent zobowiązuje się (w przypadku wyboru jego oferty) do zawarcia umowy sprzedaży nieruchomości w formie aktu notarialnego w miejscu i terminie określonym w pisemnym zawiadomieniu Prezydenta Miasta Jaworzna, przypadającym </w:t>
      </w:r>
      <w:r>
        <w:rPr>
          <w:rFonts w:ascii="Verdana" w:eastAsia="Times New Roman" w:hAnsi="Verdana" w:cs="Verdana"/>
          <w:sz w:val="22"/>
          <w:szCs w:val="22"/>
        </w:rPr>
        <w:t xml:space="preserve">nie później niż 90 dni od dnia rozstrzygnięcia przetargu oraz zapłaty w pieniądzu kwoty zaoferowanej powiększonej o należny podatek VAT, pomniejszonej o wpłacone wadium, najpóźniej na 3 dni przed ustalonym terminem zawarcia umowy (za dochowanie terminu uważa się datę </w:t>
      </w:r>
      <w:r>
        <w:rPr>
          <w:rFonts w:ascii="Verdana" w:eastAsia="Times New Roman" w:hAnsi="Verdana" w:cs="Verdana"/>
          <w:color w:val="000000"/>
          <w:sz w:val="22"/>
          <w:szCs w:val="22"/>
        </w:rPr>
        <w:t>wpływu środków pieniężnych na rachunek Urzędu Miejskiego w Jaworznie);</w:t>
      </w:r>
    </w:p>
    <w:p w14:paraId="0B5CE0F7" w14:textId="77777777" w:rsidR="00922B8B" w:rsidRPr="00BD7564" w:rsidRDefault="00BD7564" w:rsidP="00BD7564">
      <w:pPr>
        <w:pStyle w:val="Standard"/>
        <w:widowControl w:val="0"/>
        <w:numPr>
          <w:ilvl w:val="0"/>
          <w:numId w:val="8"/>
        </w:numPr>
        <w:ind w:left="867" w:hanging="510"/>
        <w:jc w:val="both"/>
        <w:rPr>
          <w:rFonts w:ascii="Verdana" w:hAnsi="Verdana" w:cs="Verdana"/>
          <w:color w:val="000000"/>
          <w:sz w:val="22"/>
          <w:szCs w:val="22"/>
        </w:rPr>
      </w:pPr>
      <w:r>
        <w:rPr>
          <w:rFonts w:ascii="Verdana" w:hAnsi="Verdana" w:cs="Verdana"/>
          <w:color w:val="000000"/>
          <w:sz w:val="22"/>
          <w:szCs w:val="22"/>
        </w:rPr>
        <w:t xml:space="preserve">Oświadczenie oferenta zawierające zobowiązanie, że w razie niewywiązania się z przyczyn leżących po jego stronie, z obowiązku prowadzenia deklarowanej działalności na nabytej nieruchomości oraz obowiązku zagospodarowania nieruchomości w terminie 5 lat od dnia wydania nieruchomości (potwierdzone decyzją pozwalającą na użytkowanie obiektu), zapłaci Gminie Miasta Jaworzna karę umowną w wysokości 30 % ceny nabycia nieruchomości Gminy Miasta Jaworzna wraz z oświadczeniem, że co do obowiązku zapłaty kary podda się egzekucji zgodnie z art. 777 </w:t>
      </w:r>
      <w:r>
        <w:rPr>
          <w:rFonts w:ascii="Verdana" w:eastAsia="Times New Roman" w:hAnsi="Verdana" w:cs="Verdana"/>
          <w:sz w:val="22"/>
          <w:szCs w:val="22"/>
        </w:rPr>
        <w:t>§ 1 pkt 5 KPC oraz że Gmina Miasta Jaworzna będzie mogła prowadzić egzekucje na podstawie aktu notarialnego, w razie niewywiązania się przez Niego z tych obowiązków i wystąpić o nadanie klauzuli wykonalności do dnia 31.12.2035 r.</w:t>
      </w:r>
    </w:p>
    <w:p w14:paraId="052F0813" w14:textId="77777777" w:rsidR="00922B8B" w:rsidRDefault="00922B8B">
      <w:pPr>
        <w:pStyle w:val="Standard"/>
        <w:widowControl w:val="0"/>
        <w:spacing w:before="120"/>
        <w:ind w:left="851" w:firstLine="17"/>
        <w:jc w:val="both"/>
        <w:rPr>
          <w:rFonts w:ascii="Verdana" w:eastAsia="Verdana" w:hAnsi="Verdana" w:cs="Verdana"/>
          <w:b/>
          <w:bCs/>
          <w:sz w:val="22"/>
          <w:szCs w:val="22"/>
        </w:rPr>
      </w:pPr>
      <w:r>
        <w:rPr>
          <w:rFonts w:ascii="Verdana" w:eastAsia="Times New Roman" w:hAnsi="Verdana" w:cs="Verdana"/>
          <w:b/>
          <w:bCs/>
          <w:color w:val="000000"/>
          <w:sz w:val="22"/>
          <w:szCs w:val="22"/>
        </w:rPr>
        <w:t xml:space="preserve">Oferta musi być przygotowana w oparciu o załącznik nr 1 do przedmiotowego ogłoszenia o przetargu udostępniony na stronach </w:t>
      </w:r>
      <w:r>
        <w:rPr>
          <w:rFonts w:ascii="Verdana" w:eastAsia="Times New Roman" w:hAnsi="Verdana" w:cs="Verdana"/>
          <w:b/>
          <w:bCs/>
          <w:sz w:val="22"/>
          <w:szCs w:val="22"/>
        </w:rPr>
        <w:t>internetowych KSSE i Urzędu Miejskiego oraz zawierać wymagane dokumenty wskazane w treści niniejszego ogłoszenia. Oferta niekompletna zostanie odrzucona.</w:t>
      </w:r>
    </w:p>
    <w:p w14:paraId="7855780C" w14:textId="77777777" w:rsidR="00922B8B" w:rsidRDefault="00922B8B">
      <w:pPr>
        <w:pStyle w:val="Standard"/>
        <w:numPr>
          <w:ilvl w:val="0"/>
          <w:numId w:val="7"/>
        </w:numPr>
        <w:spacing w:before="120"/>
        <w:ind w:left="510" w:hanging="510"/>
        <w:jc w:val="both"/>
        <w:rPr>
          <w:rFonts w:ascii="Verdana" w:eastAsia="Times New Roman" w:hAnsi="Verdana" w:cs="Verdana"/>
          <w:sz w:val="22"/>
          <w:szCs w:val="22"/>
        </w:rPr>
      </w:pPr>
      <w:r>
        <w:rPr>
          <w:rFonts w:ascii="Verdana" w:eastAsia="Verdana" w:hAnsi="Verdana" w:cs="Verdana"/>
          <w:b/>
          <w:bCs/>
          <w:sz w:val="22"/>
          <w:szCs w:val="22"/>
        </w:rPr>
        <w:t xml:space="preserve"> </w:t>
      </w:r>
      <w:r>
        <w:rPr>
          <w:rFonts w:ascii="Verdana" w:eastAsia="Times New Roman" w:hAnsi="Verdana" w:cs="Verdana"/>
          <w:b/>
          <w:bCs/>
          <w:sz w:val="22"/>
          <w:szCs w:val="22"/>
        </w:rPr>
        <w:t>Kryteria oceny ofert i punktacja:</w:t>
      </w:r>
    </w:p>
    <w:p w14:paraId="01EB5894" w14:textId="77777777" w:rsidR="00922B8B" w:rsidRDefault="00922B8B">
      <w:pPr>
        <w:pStyle w:val="Standard"/>
        <w:widowControl w:val="0"/>
        <w:numPr>
          <w:ilvl w:val="0"/>
          <w:numId w:val="9"/>
        </w:numPr>
        <w:ind w:left="851" w:hanging="284"/>
        <w:jc w:val="both"/>
        <w:rPr>
          <w:rFonts w:ascii="Verdana" w:eastAsia="Times New Roman" w:hAnsi="Verdana" w:cs="Verdana"/>
          <w:sz w:val="22"/>
          <w:szCs w:val="22"/>
        </w:rPr>
      </w:pPr>
      <w:r>
        <w:rPr>
          <w:rFonts w:ascii="Verdana" w:eastAsia="Times New Roman" w:hAnsi="Verdana" w:cs="Verdana"/>
          <w:sz w:val="22"/>
          <w:szCs w:val="22"/>
        </w:rPr>
        <w:t xml:space="preserve">Oferowana cena wyższa od ceny wywoławczej – </w:t>
      </w:r>
      <w:r>
        <w:rPr>
          <w:rFonts w:ascii="Verdana" w:eastAsia="Times New Roman" w:hAnsi="Verdana" w:cs="Verdana"/>
          <w:b/>
          <w:bCs/>
          <w:sz w:val="22"/>
          <w:szCs w:val="22"/>
        </w:rPr>
        <w:t>do 30 punktów</w:t>
      </w:r>
      <w:r>
        <w:rPr>
          <w:rFonts w:ascii="Verdana" w:eastAsia="Times New Roman" w:hAnsi="Verdana" w:cs="Verdana"/>
          <w:sz w:val="22"/>
          <w:szCs w:val="22"/>
        </w:rPr>
        <w:t xml:space="preserve"> (iloczyn 30 punktów i stosunku ceny zaoferowanej przez oferenta do najwyższej zaoferowanej ceny).</w:t>
      </w:r>
    </w:p>
    <w:p w14:paraId="3CB1CEC0" w14:textId="77777777" w:rsidR="00922B8B" w:rsidRDefault="00922B8B">
      <w:pPr>
        <w:pStyle w:val="Standard"/>
        <w:widowControl w:val="0"/>
        <w:numPr>
          <w:ilvl w:val="0"/>
          <w:numId w:val="9"/>
        </w:numPr>
        <w:ind w:left="851" w:hanging="284"/>
        <w:jc w:val="both"/>
        <w:rPr>
          <w:rFonts w:ascii="Verdana" w:eastAsia="Times New Roman" w:hAnsi="Verdana" w:cs="Verdana"/>
          <w:sz w:val="22"/>
          <w:szCs w:val="22"/>
        </w:rPr>
      </w:pPr>
      <w:r>
        <w:rPr>
          <w:rFonts w:ascii="Verdana" w:eastAsia="Times New Roman" w:hAnsi="Verdana" w:cs="Verdana"/>
          <w:sz w:val="22"/>
          <w:szCs w:val="22"/>
        </w:rPr>
        <w:t xml:space="preserve">Planowana podstawowa działalność na nabytej nieruchomości, uwzględniająca preferowane przez Gminę Miasta Jaworzna profile działalności – </w:t>
      </w:r>
      <w:r>
        <w:rPr>
          <w:rFonts w:ascii="Verdana" w:eastAsia="Times New Roman" w:hAnsi="Verdana" w:cs="Verdana"/>
          <w:b/>
          <w:bCs/>
          <w:sz w:val="22"/>
          <w:szCs w:val="22"/>
        </w:rPr>
        <w:t>30 punktów</w:t>
      </w:r>
      <w:r>
        <w:rPr>
          <w:rFonts w:ascii="Verdana" w:eastAsia="Times New Roman" w:hAnsi="Verdana" w:cs="Verdana"/>
          <w:sz w:val="22"/>
          <w:szCs w:val="22"/>
        </w:rPr>
        <w:t xml:space="preserve"> za planowaną podstawową działalność w ramach PKWiU:</w:t>
      </w:r>
    </w:p>
    <w:p w14:paraId="0C55834F" w14:textId="77777777" w:rsidR="00922B8B" w:rsidRDefault="00922B8B">
      <w:pPr>
        <w:pStyle w:val="Standard"/>
        <w:numPr>
          <w:ilvl w:val="1"/>
          <w:numId w:val="10"/>
        </w:numPr>
        <w:jc w:val="both"/>
        <w:rPr>
          <w:rFonts w:ascii="Verdana" w:eastAsia="Times New Roman" w:hAnsi="Verdana" w:cs="Verdana"/>
          <w:sz w:val="22"/>
          <w:szCs w:val="22"/>
        </w:rPr>
      </w:pPr>
      <w:r>
        <w:rPr>
          <w:rFonts w:ascii="Verdana" w:eastAsia="Times New Roman" w:hAnsi="Verdana" w:cs="Verdana"/>
          <w:sz w:val="22"/>
          <w:szCs w:val="22"/>
        </w:rPr>
        <w:t>26 – komputery, wyroby elektroniczne i optyczne,</w:t>
      </w:r>
    </w:p>
    <w:p w14:paraId="479B12DD" w14:textId="77777777" w:rsidR="00922B8B" w:rsidRDefault="00922B8B">
      <w:pPr>
        <w:pStyle w:val="Standard"/>
        <w:numPr>
          <w:ilvl w:val="1"/>
          <w:numId w:val="10"/>
        </w:numPr>
        <w:jc w:val="both"/>
        <w:rPr>
          <w:rFonts w:ascii="Verdana" w:eastAsia="Times New Roman" w:hAnsi="Verdana" w:cs="Verdana"/>
          <w:sz w:val="22"/>
          <w:szCs w:val="22"/>
        </w:rPr>
      </w:pPr>
      <w:r>
        <w:rPr>
          <w:rFonts w:ascii="Verdana" w:eastAsia="Times New Roman" w:hAnsi="Verdana" w:cs="Verdana"/>
          <w:sz w:val="22"/>
          <w:szCs w:val="22"/>
        </w:rPr>
        <w:t>27 – urządzenia elektryczne,</w:t>
      </w:r>
    </w:p>
    <w:p w14:paraId="232F85B9" w14:textId="77777777" w:rsidR="00922B8B" w:rsidRDefault="00922B8B">
      <w:pPr>
        <w:pStyle w:val="Standard"/>
        <w:numPr>
          <w:ilvl w:val="1"/>
          <w:numId w:val="10"/>
        </w:numPr>
        <w:jc w:val="both"/>
        <w:rPr>
          <w:rFonts w:ascii="Verdana" w:eastAsia="Times New Roman" w:hAnsi="Verdana" w:cs="Verdana"/>
          <w:sz w:val="22"/>
          <w:szCs w:val="22"/>
        </w:rPr>
      </w:pPr>
      <w:r>
        <w:rPr>
          <w:rFonts w:ascii="Verdana" w:eastAsia="Times New Roman" w:hAnsi="Verdana" w:cs="Verdana"/>
          <w:sz w:val="22"/>
          <w:szCs w:val="22"/>
        </w:rPr>
        <w:t>28 – maszyny i urządzenia, gdzie indziej niesklasyfikowane,</w:t>
      </w:r>
    </w:p>
    <w:p w14:paraId="7129D116" w14:textId="77777777" w:rsidR="00922B8B" w:rsidRDefault="00922B8B">
      <w:pPr>
        <w:pStyle w:val="Standard"/>
        <w:numPr>
          <w:ilvl w:val="1"/>
          <w:numId w:val="10"/>
        </w:numPr>
        <w:jc w:val="both"/>
        <w:rPr>
          <w:rFonts w:ascii="Verdana" w:eastAsia="Times New Roman" w:hAnsi="Verdana" w:cs="Verdana"/>
          <w:sz w:val="22"/>
          <w:szCs w:val="22"/>
        </w:rPr>
      </w:pPr>
      <w:r>
        <w:rPr>
          <w:rFonts w:ascii="Verdana" w:eastAsia="Times New Roman" w:hAnsi="Verdana" w:cs="Verdana"/>
          <w:sz w:val="22"/>
          <w:szCs w:val="22"/>
        </w:rPr>
        <w:t>29 – pojazdy samochodowe, przyczepy i naczepy,</w:t>
      </w:r>
    </w:p>
    <w:p w14:paraId="6C4732C0" w14:textId="77777777" w:rsidR="00922B8B" w:rsidRDefault="00922B8B">
      <w:pPr>
        <w:pStyle w:val="Standard"/>
        <w:numPr>
          <w:ilvl w:val="1"/>
          <w:numId w:val="10"/>
        </w:numPr>
        <w:jc w:val="both"/>
        <w:rPr>
          <w:rFonts w:ascii="Verdana" w:eastAsia="Times New Roman" w:hAnsi="Verdana" w:cs="Verdana"/>
          <w:sz w:val="22"/>
          <w:szCs w:val="22"/>
        </w:rPr>
      </w:pPr>
      <w:r>
        <w:rPr>
          <w:rFonts w:ascii="Verdana" w:eastAsia="Times New Roman" w:hAnsi="Verdana" w:cs="Verdana"/>
          <w:sz w:val="22"/>
          <w:szCs w:val="22"/>
        </w:rPr>
        <w:t>30 – pozostały sprzęt transportowy,</w:t>
      </w:r>
    </w:p>
    <w:p w14:paraId="0272D009" w14:textId="77777777" w:rsidR="00922B8B" w:rsidRDefault="00922B8B">
      <w:pPr>
        <w:pStyle w:val="Standard"/>
        <w:numPr>
          <w:ilvl w:val="1"/>
          <w:numId w:val="10"/>
        </w:numPr>
        <w:jc w:val="both"/>
        <w:rPr>
          <w:rFonts w:ascii="Verdana" w:eastAsia="Times New Roman" w:hAnsi="Verdana" w:cs="Verdana"/>
          <w:sz w:val="22"/>
          <w:szCs w:val="22"/>
        </w:rPr>
      </w:pPr>
      <w:r>
        <w:rPr>
          <w:rFonts w:ascii="Verdana" w:eastAsia="Times New Roman" w:hAnsi="Verdana" w:cs="Verdana"/>
          <w:sz w:val="22"/>
          <w:szCs w:val="22"/>
        </w:rPr>
        <w:t>45 – sprzedaż hurtowa i detaliczna pojazdów samochodowych; usługi naprawy pojazdów samochodowych,</w:t>
      </w:r>
    </w:p>
    <w:p w14:paraId="09A3AC7C" w14:textId="77777777" w:rsidR="00922B8B" w:rsidRDefault="00922B8B">
      <w:pPr>
        <w:pStyle w:val="Standard"/>
        <w:numPr>
          <w:ilvl w:val="1"/>
          <w:numId w:val="10"/>
        </w:numPr>
        <w:jc w:val="both"/>
        <w:rPr>
          <w:rFonts w:ascii="Verdana" w:eastAsia="Times New Roman" w:hAnsi="Verdana" w:cs="Verdana"/>
          <w:sz w:val="22"/>
          <w:szCs w:val="22"/>
        </w:rPr>
      </w:pPr>
      <w:r>
        <w:rPr>
          <w:rFonts w:ascii="Verdana" w:eastAsia="Times New Roman" w:hAnsi="Verdana" w:cs="Verdana"/>
          <w:sz w:val="22"/>
          <w:szCs w:val="22"/>
        </w:rPr>
        <w:t>46 – handel hurtowy, z wyłączeniem handlu hurtowego pojazdami samochodowymi,</w:t>
      </w:r>
    </w:p>
    <w:p w14:paraId="671CC1E7" w14:textId="77777777" w:rsidR="00922B8B" w:rsidRDefault="00922B8B">
      <w:pPr>
        <w:pStyle w:val="Standard"/>
        <w:numPr>
          <w:ilvl w:val="1"/>
          <w:numId w:val="10"/>
        </w:numPr>
        <w:jc w:val="both"/>
        <w:rPr>
          <w:rFonts w:ascii="Verdana" w:eastAsia="Times New Roman" w:hAnsi="Verdana" w:cs="Verdana"/>
          <w:sz w:val="22"/>
          <w:szCs w:val="22"/>
        </w:rPr>
      </w:pPr>
      <w:r>
        <w:rPr>
          <w:rFonts w:ascii="Verdana" w:eastAsia="Times New Roman" w:hAnsi="Verdana" w:cs="Verdana"/>
          <w:sz w:val="22"/>
          <w:szCs w:val="22"/>
        </w:rPr>
        <w:t>47 – handel detaliczny z wyłączeniem handlu detalicznego pojazdami samochodowymi,</w:t>
      </w:r>
    </w:p>
    <w:p w14:paraId="554795DF" w14:textId="77777777" w:rsidR="00922B8B" w:rsidRDefault="00922B8B">
      <w:pPr>
        <w:pStyle w:val="Standard"/>
        <w:numPr>
          <w:ilvl w:val="1"/>
          <w:numId w:val="10"/>
        </w:numPr>
        <w:jc w:val="both"/>
        <w:rPr>
          <w:rFonts w:ascii="Verdana" w:eastAsia="Times New Roman" w:hAnsi="Verdana" w:cs="Verdana"/>
          <w:sz w:val="22"/>
          <w:szCs w:val="22"/>
        </w:rPr>
      </w:pPr>
      <w:r>
        <w:rPr>
          <w:rFonts w:ascii="Verdana" w:eastAsia="Times New Roman" w:hAnsi="Verdana" w:cs="Verdana"/>
          <w:sz w:val="22"/>
          <w:szCs w:val="22"/>
        </w:rPr>
        <w:t>52.1 – magazynowanie i przechowywanie towarów,</w:t>
      </w:r>
    </w:p>
    <w:p w14:paraId="364D6A33" w14:textId="77777777" w:rsidR="00922B8B" w:rsidRDefault="00922B8B">
      <w:pPr>
        <w:pStyle w:val="Standard"/>
        <w:numPr>
          <w:ilvl w:val="1"/>
          <w:numId w:val="10"/>
        </w:numPr>
        <w:jc w:val="both"/>
        <w:rPr>
          <w:rFonts w:ascii="Verdana" w:eastAsia="Times New Roman" w:hAnsi="Verdana" w:cs="Verdana"/>
          <w:sz w:val="22"/>
          <w:szCs w:val="22"/>
        </w:rPr>
      </w:pPr>
      <w:r>
        <w:rPr>
          <w:rFonts w:ascii="Verdana" w:eastAsia="Times New Roman" w:hAnsi="Verdana" w:cs="Verdana"/>
          <w:sz w:val="22"/>
          <w:szCs w:val="22"/>
        </w:rPr>
        <w:t>62 – usługi związane z oprogramowaniem i doradztwem w zakresie informatyki i usługi powiązane</w:t>
      </w:r>
    </w:p>
    <w:p w14:paraId="52EFE65E" w14:textId="77777777" w:rsidR="00922B8B" w:rsidRDefault="00922B8B">
      <w:pPr>
        <w:pStyle w:val="Standard"/>
        <w:numPr>
          <w:ilvl w:val="1"/>
          <w:numId w:val="10"/>
        </w:numPr>
        <w:jc w:val="both"/>
        <w:rPr>
          <w:rFonts w:ascii="Verdana" w:eastAsia="Times New Roman" w:hAnsi="Verdana" w:cs="Verdana"/>
          <w:sz w:val="22"/>
          <w:szCs w:val="22"/>
        </w:rPr>
      </w:pPr>
      <w:r>
        <w:rPr>
          <w:rFonts w:ascii="Verdana" w:eastAsia="Times New Roman" w:hAnsi="Verdana" w:cs="Verdana"/>
          <w:sz w:val="22"/>
          <w:szCs w:val="22"/>
        </w:rPr>
        <w:t>63 – usługi w zakresie informacji.</w:t>
      </w:r>
    </w:p>
    <w:p w14:paraId="586574B2" w14:textId="77777777" w:rsidR="00922B8B" w:rsidRDefault="00922B8B">
      <w:pPr>
        <w:pStyle w:val="Standard"/>
        <w:widowControl w:val="0"/>
        <w:numPr>
          <w:ilvl w:val="0"/>
          <w:numId w:val="9"/>
        </w:numPr>
        <w:ind w:left="851" w:hanging="284"/>
        <w:jc w:val="both"/>
        <w:rPr>
          <w:rFonts w:ascii="Verdana" w:eastAsia="Times New Roman" w:hAnsi="Verdana" w:cs="Verdana"/>
          <w:sz w:val="22"/>
          <w:szCs w:val="22"/>
        </w:rPr>
      </w:pPr>
      <w:r>
        <w:rPr>
          <w:rFonts w:ascii="Verdana" w:eastAsia="Times New Roman" w:hAnsi="Verdana" w:cs="Verdana"/>
          <w:sz w:val="22"/>
          <w:szCs w:val="22"/>
        </w:rPr>
        <w:t>Planowana powierzchnia użytkowa budynków, zgodnie z koncepcją zagospodarowania –</w:t>
      </w:r>
      <w:r>
        <w:rPr>
          <w:rFonts w:ascii="Verdana" w:eastAsia="Times New Roman" w:hAnsi="Verdana" w:cs="Verdana"/>
          <w:b/>
          <w:bCs/>
          <w:sz w:val="22"/>
          <w:szCs w:val="22"/>
        </w:rPr>
        <w:t xml:space="preserve"> do</w:t>
      </w:r>
      <w:r>
        <w:rPr>
          <w:rFonts w:ascii="Verdana" w:eastAsia="Times New Roman" w:hAnsi="Verdana" w:cs="Verdana"/>
          <w:sz w:val="22"/>
          <w:szCs w:val="22"/>
        </w:rPr>
        <w:t xml:space="preserve"> </w:t>
      </w:r>
      <w:r>
        <w:rPr>
          <w:rFonts w:ascii="Verdana" w:eastAsia="Times New Roman" w:hAnsi="Verdana" w:cs="Verdana"/>
          <w:b/>
          <w:bCs/>
          <w:sz w:val="22"/>
          <w:szCs w:val="22"/>
        </w:rPr>
        <w:t xml:space="preserve">25 punktów </w:t>
      </w:r>
      <w:r>
        <w:rPr>
          <w:rFonts w:ascii="Verdana" w:eastAsia="Times New Roman" w:hAnsi="Verdana" w:cs="Verdana"/>
          <w:sz w:val="22"/>
          <w:szCs w:val="22"/>
        </w:rPr>
        <w:t xml:space="preserve">(iloczyn 25 punktów i stosunku wielkości </w:t>
      </w:r>
      <w:r>
        <w:rPr>
          <w:rFonts w:ascii="Verdana" w:eastAsia="Times New Roman" w:hAnsi="Verdana" w:cs="Verdana"/>
          <w:sz w:val="22"/>
          <w:szCs w:val="22"/>
        </w:rPr>
        <w:lastRenderedPageBreak/>
        <w:t>powierzchni użytkowej zaoferowanej przez oferenta do największej zaoferowanej powierzchni użytkowej).</w:t>
      </w:r>
    </w:p>
    <w:p w14:paraId="473AB49E" w14:textId="77777777" w:rsidR="00922B8B" w:rsidRDefault="00922B8B">
      <w:pPr>
        <w:pStyle w:val="Standard"/>
        <w:widowControl w:val="0"/>
        <w:numPr>
          <w:ilvl w:val="0"/>
          <w:numId w:val="9"/>
        </w:numPr>
        <w:ind w:left="851" w:hanging="284"/>
        <w:jc w:val="both"/>
        <w:rPr>
          <w:rFonts w:ascii="Verdana" w:eastAsia="Times New Roman" w:hAnsi="Verdana" w:cs="Verdana"/>
          <w:sz w:val="22"/>
          <w:szCs w:val="22"/>
        </w:rPr>
      </w:pPr>
      <w:r>
        <w:rPr>
          <w:rFonts w:ascii="Verdana" w:eastAsia="Times New Roman" w:hAnsi="Verdana" w:cs="Verdana"/>
          <w:sz w:val="22"/>
          <w:szCs w:val="22"/>
        </w:rPr>
        <w:t xml:space="preserve">Posiadanie decyzji o wsparciu projektu inwestycyjnego oferenta na nieruchomości będącej przedmiotem przetargu, wydanej na podstawie ustawy z dnia 10 maja 2018 roku o wspieraniu nowych inwestycji – </w:t>
      </w:r>
      <w:r>
        <w:rPr>
          <w:rFonts w:ascii="Verdana" w:eastAsia="Times New Roman" w:hAnsi="Verdana" w:cs="Verdana"/>
          <w:b/>
          <w:bCs/>
          <w:sz w:val="22"/>
          <w:szCs w:val="22"/>
        </w:rPr>
        <w:t>15 punktów</w:t>
      </w:r>
      <w:r>
        <w:rPr>
          <w:rFonts w:ascii="Verdana" w:eastAsia="Times New Roman" w:hAnsi="Verdana" w:cs="Verdana"/>
          <w:sz w:val="22"/>
          <w:szCs w:val="22"/>
        </w:rPr>
        <w:t>.</w:t>
      </w:r>
    </w:p>
    <w:p w14:paraId="322FF714" w14:textId="77777777" w:rsidR="00922B8B" w:rsidRDefault="00922B8B">
      <w:pPr>
        <w:pStyle w:val="Standard"/>
        <w:ind w:left="510"/>
        <w:jc w:val="both"/>
        <w:rPr>
          <w:rFonts w:ascii="Verdana" w:eastAsia="Times New Roman" w:hAnsi="Verdana" w:cs="Verdana"/>
          <w:sz w:val="22"/>
          <w:szCs w:val="22"/>
        </w:rPr>
      </w:pPr>
      <w:r>
        <w:rPr>
          <w:rFonts w:ascii="Verdana" w:eastAsia="Times New Roman" w:hAnsi="Verdana" w:cs="Verdana"/>
          <w:sz w:val="22"/>
          <w:szCs w:val="22"/>
        </w:rPr>
        <w:t>O wyborze Oferenta decydować będzie wyższa liczba uzyskanych w przetargu punktów, która maksymalnie wynosi 100 punktów.</w:t>
      </w:r>
    </w:p>
    <w:p w14:paraId="75268065" w14:textId="77777777" w:rsidR="00922B8B" w:rsidRDefault="00922B8B">
      <w:pPr>
        <w:pStyle w:val="Standard"/>
        <w:widowControl w:val="0"/>
        <w:ind w:left="510"/>
        <w:jc w:val="both"/>
        <w:rPr>
          <w:rFonts w:ascii="Verdana" w:eastAsia="Times New Roman" w:hAnsi="Verdana" w:cs="Verdana"/>
          <w:b/>
          <w:bCs/>
          <w:sz w:val="22"/>
          <w:szCs w:val="22"/>
        </w:rPr>
      </w:pPr>
      <w:r>
        <w:rPr>
          <w:rFonts w:ascii="Verdana" w:eastAsia="Times New Roman" w:hAnsi="Verdana" w:cs="Verdana"/>
          <w:sz w:val="22"/>
          <w:szCs w:val="22"/>
        </w:rPr>
        <w:t>Oferta i wszystkie oświadczenia załączone do niej winny być podpisane przez Oferenta lub osoby przez niego upoważnione.</w:t>
      </w:r>
    </w:p>
    <w:p w14:paraId="6118A37E" w14:textId="77777777" w:rsidR="00922B8B" w:rsidRDefault="00922B8B">
      <w:pPr>
        <w:pStyle w:val="Standard"/>
        <w:widowControl w:val="0"/>
        <w:numPr>
          <w:ilvl w:val="0"/>
          <w:numId w:val="7"/>
        </w:numPr>
        <w:ind w:left="510" w:hanging="510"/>
        <w:jc w:val="both"/>
        <w:rPr>
          <w:rFonts w:ascii="Verdana" w:eastAsia="Arial Unicode MS" w:hAnsi="Verdana" w:cs="Verdana"/>
          <w:sz w:val="22"/>
          <w:szCs w:val="22"/>
          <w:lang w:bidi="pl-PL"/>
        </w:rPr>
      </w:pPr>
      <w:r>
        <w:rPr>
          <w:rFonts w:ascii="Verdana" w:eastAsia="Times New Roman" w:hAnsi="Verdana" w:cs="Verdana"/>
          <w:b/>
          <w:bCs/>
          <w:sz w:val="22"/>
          <w:szCs w:val="22"/>
        </w:rPr>
        <w:t>Zobowiązania oferenta:</w:t>
      </w:r>
    </w:p>
    <w:p w14:paraId="0944FBE8" w14:textId="77777777" w:rsidR="00922B8B" w:rsidRDefault="00922B8B">
      <w:pPr>
        <w:pStyle w:val="Standard"/>
        <w:widowControl w:val="0"/>
        <w:ind w:firstLine="510"/>
        <w:jc w:val="both"/>
        <w:rPr>
          <w:rFonts w:ascii="Verdana" w:eastAsia="Arial Unicode MS" w:hAnsi="Verdana" w:cs="Verdana"/>
          <w:b/>
          <w:bCs/>
          <w:sz w:val="22"/>
          <w:szCs w:val="22"/>
          <w:lang w:bidi="pl-PL"/>
        </w:rPr>
      </w:pPr>
      <w:r>
        <w:rPr>
          <w:rFonts w:ascii="Verdana" w:eastAsia="Arial Unicode MS" w:hAnsi="Verdana" w:cs="Verdana"/>
          <w:sz w:val="22"/>
          <w:szCs w:val="22"/>
          <w:lang w:bidi="pl-PL"/>
        </w:rPr>
        <w:t>Podmiot wyłoniony jako nabywca w drodze przetargu jest zobowiązany do:</w:t>
      </w:r>
    </w:p>
    <w:p w14:paraId="3680B2AC" w14:textId="77777777" w:rsidR="00922B8B" w:rsidRDefault="00922B8B">
      <w:pPr>
        <w:pStyle w:val="Standard"/>
        <w:widowControl w:val="0"/>
        <w:numPr>
          <w:ilvl w:val="0"/>
          <w:numId w:val="1"/>
        </w:numPr>
        <w:ind w:left="851"/>
        <w:jc w:val="both"/>
        <w:rPr>
          <w:rFonts w:ascii="Verdana" w:eastAsia="Arial Unicode MS" w:hAnsi="Verdana" w:cs="Verdana"/>
          <w:sz w:val="22"/>
          <w:szCs w:val="22"/>
          <w:lang w:bidi="pl-PL"/>
        </w:rPr>
      </w:pPr>
      <w:r>
        <w:rPr>
          <w:rFonts w:ascii="Verdana" w:eastAsia="Arial Unicode MS" w:hAnsi="Verdana" w:cs="Verdana"/>
          <w:b/>
          <w:bCs/>
          <w:sz w:val="22"/>
          <w:szCs w:val="22"/>
          <w:lang w:bidi="pl-PL"/>
        </w:rPr>
        <w:t xml:space="preserve">zawarcia umowy sprzedaży nieruchomości w formie aktu notarialnego w miejscu i terminie określonym w pisemnym zawiadomieniu Prezydenta Miasta Jaworzna. </w:t>
      </w:r>
      <w:r>
        <w:rPr>
          <w:rFonts w:ascii="Verdana" w:eastAsia="Arial Unicode MS" w:hAnsi="Verdana" w:cs="Verdana"/>
          <w:sz w:val="22"/>
          <w:szCs w:val="22"/>
          <w:lang w:bidi="pl-PL"/>
        </w:rPr>
        <w:t>Nabywca nieruchomości ponosi wszelkie koszty związane z zawarciem przedmiotowej umowy;</w:t>
      </w:r>
    </w:p>
    <w:p w14:paraId="02533D97" w14:textId="77777777" w:rsidR="00922B8B" w:rsidRDefault="00922B8B">
      <w:pPr>
        <w:pStyle w:val="Standard"/>
        <w:widowControl w:val="0"/>
        <w:numPr>
          <w:ilvl w:val="0"/>
          <w:numId w:val="1"/>
        </w:numPr>
        <w:ind w:left="851"/>
        <w:jc w:val="both"/>
        <w:rPr>
          <w:rFonts w:ascii="Verdana" w:eastAsia="Arial Unicode MS" w:hAnsi="Verdana" w:cs="Verdana"/>
          <w:sz w:val="22"/>
          <w:szCs w:val="22"/>
          <w:lang w:bidi="pl-PL"/>
        </w:rPr>
      </w:pPr>
      <w:r>
        <w:rPr>
          <w:rFonts w:ascii="Verdana" w:eastAsia="Arial Unicode MS" w:hAnsi="Verdana" w:cs="Verdana"/>
          <w:sz w:val="22"/>
          <w:szCs w:val="22"/>
          <w:lang w:bidi="pl-PL"/>
        </w:rPr>
        <w:t xml:space="preserve">zapłaty w pieniądzu ceny nieruchomości ustalonej w wyniku przetargu, pomniejszonej o wpłacone wadium, najpóźniej </w:t>
      </w:r>
      <w:r>
        <w:rPr>
          <w:rFonts w:ascii="Verdana" w:eastAsia="Arial Unicode MS" w:hAnsi="Verdana" w:cs="Verdana"/>
          <w:b/>
          <w:bCs/>
          <w:sz w:val="22"/>
          <w:szCs w:val="22"/>
          <w:lang w:bidi="pl-PL"/>
        </w:rPr>
        <w:t xml:space="preserve">na 3 dni przed ustalonym terminem zawarcia umowy notarialnej, </w:t>
      </w:r>
      <w:r>
        <w:rPr>
          <w:rFonts w:ascii="Verdana" w:eastAsia="Arial Unicode MS" w:hAnsi="Verdana" w:cs="Verdana"/>
          <w:sz w:val="22"/>
          <w:szCs w:val="22"/>
          <w:lang w:bidi="pl-PL"/>
        </w:rPr>
        <w:t xml:space="preserve">na rachunek bankowy Urzędu Miejskiego w Jaworznie, prowadzony w </w:t>
      </w:r>
      <w:r>
        <w:rPr>
          <w:rFonts w:ascii="Verdana" w:eastAsia="Arial Unicode MS" w:hAnsi="Verdana" w:cs="Verdana"/>
          <w:b/>
          <w:bCs/>
          <w:sz w:val="22"/>
          <w:szCs w:val="22"/>
          <w:lang w:bidi="pl-PL"/>
        </w:rPr>
        <w:t>Banku Handlowym w Warszawie S.A. NRB 60 1030 1159 0000 0000 9206 6061</w:t>
      </w:r>
      <w:r>
        <w:rPr>
          <w:rFonts w:ascii="Verdana" w:eastAsia="Arial Unicode MS" w:hAnsi="Verdana" w:cs="Verdana"/>
          <w:sz w:val="22"/>
          <w:szCs w:val="22"/>
          <w:lang w:bidi="pl-PL"/>
        </w:rPr>
        <w:t>.</w:t>
      </w:r>
    </w:p>
    <w:p w14:paraId="4E6E79CF" w14:textId="77777777" w:rsidR="00922B8B" w:rsidRDefault="00922B8B">
      <w:pPr>
        <w:pStyle w:val="Standard"/>
        <w:widowControl w:val="0"/>
        <w:ind w:left="907"/>
        <w:jc w:val="both"/>
        <w:rPr>
          <w:rFonts w:ascii="Verdana" w:eastAsia="Times New Roman" w:hAnsi="Verdana" w:cs="Verdana"/>
          <w:b/>
          <w:bCs/>
          <w:sz w:val="22"/>
          <w:szCs w:val="22"/>
        </w:rPr>
      </w:pPr>
      <w:r>
        <w:rPr>
          <w:rFonts w:ascii="Verdana" w:eastAsia="Arial Unicode MS" w:hAnsi="Verdana" w:cs="Verdana"/>
          <w:sz w:val="22"/>
          <w:szCs w:val="22"/>
          <w:lang w:bidi="pl-PL"/>
        </w:rPr>
        <w:t>Za termin zapłaty uznaje się dzień wpływu należnej kwoty na rachunek Gminy Miasta Jaworzna.</w:t>
      </w:r>
    </w:p>
    <w:p w14:paraId="7F43DDA1" w14:textId="77777777" w:rsidR="00922B8B" w:rsidRDefault="00922B8B">
      <w:pPr>
        <w:pStyle w:val="Standard"/>
        <w:widowControl w:val="0"/>
        <w:numPr>
          <w:ilvl w:val="0"/>
          <w:numId w:val="7"/>
        </w:numPr>
        <w:ind w:left="510" w:hanging="510"/>
        <w:jc w:val="both"/>
        <w:rPr>
          <w:rFonts w:ascii="Verdana" w:eastAsia="Arial Unicode MS" w:hAnsi="Verdana" w:cs="Verdana"/>
          <w:sz w:val="22"/>
          <w:szCs w:val="22"/>
          <w:lang w:bidi="pl-PL"/>
        </w:rPr>
      </w:pPr>
      <w:r>
        <w:rPr>
          <w:rFonts w:ascii="Verdana" w:eastAsia="Times New Roman" w:hAnsi="Verdana" w:cs="Verdana"/>
          <w:b/>
          <w:bCs/>
          <w:sz w:val="22"/>
          <w:szCs w:val="22"/>
        </w:rPr>
        <w:t>Dodatkowe informacje:</w:t>
      </w:r>
    </w:p>
    <w:p w14:paraId="699A5BC0" w14:textId="77777777" w:rsidR="00922B8B" w:rsidRDefault="00922B8B">
      <w:pPr>
        <w:pStyle w:val="Standard"/>
        <w:widowControl w:val="0"/>
        <w:ind w:left="510"/>
        <w:jc w:val="both"/>
        <w:rPr>
          <w:rFonts w:ascii="Verdana" w:eastAsia="Arial Unicode MS" w:hAnsi="Verdana" w:cs="Verdana"/>
          <w:sz w:val="22"/>
          <w:szCs w:val="22"/>
          <w:lang w:bidi="pl-PL"/>
        </w:rPr>
      </w:pPr>
      <w:r>
        <w:rPr>
          <w:rFonts w:ascii="Verdana" w:eastAsia="Arial Unicode MS" w:hAnsi="Verdana" w:cs="Verdana"/>
          <w:sz w:val="22"/>
          <w:szCs w:val="22"/>
          <w:lang w:bidi="pl-PL"/>
        </w:rPr>
        <w:t xml:space="preserve">Nieruchomość gminna została wyznaczona do sprzedaży w drodze przetargu pisemnego nieograniczonego zarządzeniem </w:t>
      </w:r>
      <w:r>
        <w:rPr>
          <w:rFonts w:ascii="Verdana" w:eastAsia="Times New Roman" w:hAnsi="Verdana" w:cs="Verdana"/>
          <w:spacing w:val="-6"/>
          <w:sz w:val="22"/>
          <w:szCs w:val="22"/>
        </w:rPr>
        <w:t xml:space="preserve">Prezydenta Miasta Jaworzna nr ON.0050.106.2025 z 1 kwietnia 2025 </w:t>
      </w:r>
      <w:r>
        <w:rPr>
          <w:rFonts w:ascii="Verdana" w:eastAsia="Times New Roman" w:hAnsi="Verdana" w:cs="Verdana"/>
          <w:bCs/>
          <w:spacing w:val="-6"/>
          <w:sz w:val="22"/>
          <w:szCs w:val="22"/>
        </w:rPr>
        <w:t>r.</w:t>
      </w:r>
    </w:p>
    <w:p w14:paraId="61BED51A" w14:textId="77777777" w:rsidR="00922B8B" w:rsidRDefault="00922B8B">
      <w:pPr>
        <w:pStyle w:val="Standard"/>
        <w:widowControl w:val="0"/>
        <w:ind w:left="510"/>
        <w:jc w:val="both"/>
        <w:rPr>
          <w:rFonts w:ascii="Verdana" w:eastAsia="Arial Narrow" w:hAnsi="Verdana" w:cs="Verdana"/>
          <w:sz w:val="22"/>
          <w:szCs w:val="22"/>
          <w:lang w:bidi="pl-PL"/>
        </w:rPr>
      </w:pPr>
      <w:r>
        <w:rPr>
          <w:rFonts w:ascii="Verdana" w:eastAsia="Arial Unicode MS" w:hAnsi="Verdana" w:cs="Verdana"/>
          <w:sz w:val="22"/>
          <w:szCs w:val="22"/>
          <w:lang w:bidi="pl-PL"/>
        </w:rPr>
        <w:t>Nabywca przyjmuje nieruchomość w stanie istniejącym.</w:t>
      </w:r>
    </w:p>
    <w:p w14:paraId="7102260D" w14:textId="77777777" w:rsidR="00922B8B" w:rsidRDefault="00922B8B">
      <w:pPr>
        <w:pStyle w:val="Standard"/>
        <w:widowControl w:val="0"/>
        <w:ind w:left="510"/>
        <w:jc w:val="both"/>
        <w:rPr>
          <w:rFonts w:ascii="Verdana" w:eastAsia="Arial Unicode MS" w:hAnsi="Verdana" w:cs="Verdana"/>
          <w:sz w:val="22"/>
          <w:szCs w:val="22"/>
          <w:lang w:bidi="pl-PL"/>
        </w:rPr>
      </w:pPr>
      <w:r>
        <w:rPr>
          <w:rFonts w:ascii="Verdana" w:eastAsia="Arial Narrow" w:hAnsi="Verdana" w:cs="Verdana"/>
          <w:sz w:val="22"/>
          <w:szCs w:val="22"/>
          <w:lang w:bidi="pl-PL"/>
        </w:rPr>
        <w:t>Przetarg może się odbyć, chociażby wpłynęła tylko jedna oferta spełniająca warunki określone w ogłoszeniu o przetargu.</w:t>
      </w:r>
    </w:p>
    <w:p w14:paraId="7A7AB83B" w14:textId="77777777" w:rsidR="00922B8B" w:rsidRDefault="00922B8B">
      <w:pPr>
        <w:pStyle w:val="Standard"/>
        <w:widowControl w:val="0"/>
        <w:ind w:left="510"/>
        <w:jc w:val="both"/>
        <w:rPr>
          <w:rFonts w:ascii="Verdana" w:eastAsia="Arial Unicode MS" w:hAnsi="Verdana" w:cs="Verdana"/>
          <w:sz w:val="22"/>
          <w:szCs w:val="22"/>
          <w:lang w:bidi="pl-PL"/>
        </w:rPr>
      </w:pPr>
      <w:r>
        <w:rPr>
          <w:rFonts w:ascii="Verdana" w:eastAsia="Arial Unicode MS" w:hAnsi="Verdana" w:cs="Verdana"/>
          <w:sz w:val="22"/>
          <w:szCs w:val="22"/>
          <w:lang w:bidi="pl-PL"/>
        </w:rPr>
        <w:t>O terminie zawarcia umowy w formie aktu notarialnego nabywca nieruchomości powiadomiony zostanie przez Prezydenta Miasta Jaworzna pisemnie, w ciągu 21 dni od dnia rozstrzygnięcia przetargu.</w:t>
      </w:r>
    </w:p>
    <w:p w14:paraId="50FAA4D8" w14:textId="77777777" w:rsidR="00922B8B" w:rsidRDefault="00922B8B">
      <w:pPr>
        <w:pStyle w:val="Standard"/>
        <w:widowControl w:val="0"/>
        <w:ind w:left="510"/>
        <w:jc w:val="both"/>
        <w:rPr>
          <w:rFonts w:ascii="Verdana" w:eastAsia="Arial Unicode MS" w:hAnsi="Verdana" w:cs="Verdana"/>
          <w:sz w:val="22"/>
          <w:szCs w:val="22"/>
          <w:lang w:bidi="pl-PL"/>
        </w:rPr>
      </w:pPr>
      <w:r>
        <w:rPr>
          <w:rFonts w:ascii="Verdana" w:eastAsia="Arial Unicode MS" w:hAnsi="Verdana" w:cs="Verdana"/>
          <w:sz w:val="22"/>
          <w:szCs w:val="22"/>
          <w:lang w:bidi="pl-PL"/>
        </w:rPr>
        <w:t>Komisja przetargowa przeprowadzi przetarg zgodnie z rozporządzeniem Rady Ministrów z dnia 14 września 2004 r. w sprawie sposobu i trybu przeprowadzania przetargów oraz rokowań na zbycie nieruchomości (tekst jednolity: Dz. U. z 2021 r., poz. 2213).</w:t>
      </w:r>
    </w:p>
    <w:p w14:paraId="3A92E496" w14:textId="77777777" w:rsidR="00922B8B" w:rsidRDefault="00922B8B">
      <w:pPr>
        <w:pStyle w:val="Standard"/>
        <w:widowControl w:val="0"/>
        <w:ind w:left="510"/>
        <w:jc w:val="both"/>
        <w:rPr>
          <w:rFonts w:ascii="Verdana" w:eastAsia="Arial Unicode MS" w:hAnsi="Verdana" w:cs="Verdana"/>
          <w:sz w:val="22"/>
          <w:szCs w:val="22"/>
          <w:lang w:bidi="pl-PL"/>
        </w:rPr>
      </w:pPr>
      <w:r>
        <w:rPr>
          <w:rFonts w:ascii="Verdana" w:eastAsia="Arial Unicode MS" w:hAnsi="Verdana" w:cs="Verdana"/>
          <w:sz w:val="22"/>
          <w:szCs w:val="22"/>
          <w:lang w:bidi="pl-PL"/>
        </w:rPr>
        <w:t>Sprzedaż nieruchomości gminnej następuje na podstawie przepisów ustawy z dnia 21 sierpnia 1997 r. o gospodarce nieruchomościami (</w:t>
      </w:r>
      <w:r>
        <w:rPr>
          <w:rFonts w:ascii="Verdana" w:hAnsi="Verdana" w:cs="Verdana"/>
          <w:sz w:val="22"/>
          <w:szCs w:val="22"/>
        </w:rPr>
        <w:t>Dz. U. z 2024 r., poz. 1145 z późn. zm.</w:t>
      </w:r>
      <w:r>
        <w:rPr>
          <w:rFonts w:ascii="Verdana" w:eastAsia="Arial Unicode MS" w:hAnsi="Verdana" w:cs="Verdana"/>
          <w:sz w:val="22"/>
          <w:szCs w:val="22"/>
          <w:lang w:bidi="pl-PL"/>
        </w:rPr>
        <w:t>).</w:t>
      </w:r>
    </w:p>
    <w:p w14:paraId="30581A79" w14:textId="77777777" w:rsidR="00922B8B" w:rsidRDefault="00922B8B">
      <w:pPr>
        <w:pStyle w:val="Standard"/>
        <w:widowControl w:val="0"/>
        <w:ind w:left="510"/>
        <w:jc w:val="both"/>
        <w:rPr>
          <w:rFonts w:ascii="Verdana" w:eastAsia="Arial Unicode MS" w:hAnsi="Verdana" w:cs="Verdana"/>
          <w:sz w:val="22"/>
          <w:szCs w:val="22"/>
          <w:lang w:bidi="pl-PL"/>
        </w:rPr>
      </w:pPr>
      <w:r>
        <w:rPr>
          <w:rFonts w:ascii="Verdana" w:eastAsia="Arial Unicode MS" w:hAnsi="Verdana" w:cs="Verdana"/>
          <w:sz w:val="22"/>
          <w:szCs w:val="22"/>
          <w:lang w:bidi="pl-PL"/>
        </w:rPr>
        <w:t>Wadium zwraca się niezwłocznie po odwołaniu albo zamknięciu przetargu, jednak nie później niż przed upływem trzech dni od dnia odwołania, zamknięcia, unieważnienia lub zakończenia przetargu wynikiem negatywnym, bez naliczania odsetek za okres od wpłaty do zwrotu.</w:t>
      </w:r>
    </w:p>
    <w:p w14:paraId="3EFC4E7A" w14:textId="77777777" w:rsidR="00922B8B" w:rsidRDefault="00922B8B">
      <w:pPr>
        <w:pStyle w:val="Standard"/>
        <w:widowControl w:val="0"/>
        <w:ind w:left="510"/>
        <w:jc w:val="both"/>
        <w:rPr>
          <w:rFonts w:ascii="Verdana" w:eastAsia="Arial Unicode MS" w:hAnsi="Verdana" w:cs="Verdana"/>
          <w:sz w:val="22"/>
          <w:szCs w:val="22"/>
          <w:lang w:bidi="pl-PL"/>
        </w:rPr>
      </w:pPr>
      <w:r>
        <w:rPr>
          <w:rFonts w:ascii="Verdana" w:eastAsia="Arial Unicode MS" w:hAnsi="Verdana" w:cs="Verdana"/>
          <w:sz w:val="22"/>
          <w:szCs w:val="22"/>
          <w:lang w:bidi="pl-PL"/>
        </w:rPr>
        <w:t>Wadium wniesione w pieniądzu przez uczestnika przetargu, który przetarg wygra, zalicza się na poczet ceny nabycia nieruchomości.</w:t>
      </w:r>
    </w:p>
    <w:p w14:paraId="705B72D6" w14:textId="77777777" w:rsidR="00922B8B" w:rsidRDefault="00922B8B">
      <w:pPr>
        <w:pStyle w:val="Standard"/>
        <w:widowControl w:val="0"/>
        <w:ind w:left="510"/>
        <w:jc w:val="both"/>
        <w:rPr>
          <w:rFonts w:ascii="Verdana" w:eastAsia="Arial Unicode MS" w:hAnsi="Verdana" w:cs="Verdana"/>
          <w:sz w:val="22"/>
          <w:szCs w:val="22"/>
          <w:lang w:bidi="pl-PL"/>
        </w:rPr>
      </w:pPr>
      <w:r>
        <w:rPr>
          <w:rFonts w:ascii="Verdana" w:eastAsia="Arial Unicode MS" w:hAnsi="Verdana" w:cs="Verdana"/>
          <w:sz w:val="22"/>
          <w:szCs w:val="22"/>
          <w:lang w:bidi="pl-PL"/>
        </w:rPr>
        <w:t>W przypadku jeżeli osoba ustalona jako nabywca nieruchomości uchyli się od zawarcia umowy w miejscu i w terminie podanym w zawiadomieniu, przystąpi, ale jej nie podpisze lub nie dokona wpłaty ceny nieruchomości najpóźniej na 3 dni przed ustalonym terminem zawarcia umowy, Prezydent Miasta Jaworzna może odstąpić od zawarcia umowy, a wpłacone wadium nie podlega zwrotowi.</w:t>
      </w:r>
    </w:p>
    <w:p w14:paraId="7F5177BF" w14:textId="77777777" w:rsidR="00922B8B" w:rsidRDefault="00922B8B">
      <w:pPr>
        <w:pStyle w:val="Standard"/>
        <w:widowControl w:val="0"/>
        <w:ind w:left="510"/>
        <w:jc w:val="both"/>
        <w:rPr>
          <w:rFonts w:ascii="Verdana" w:eastAsia="Arial Unicode MS" w:hAnsi="Verdana" w:cs="Verdana"/>
          <w:sz w:val="22"/>
          <w:szCs w:val="22"/>
          <w:lang w:bidi="pl-PL"/>
        </w:rPr>
      </w:pPr>
      <w:r>
        <w:rPr>
          <w:rFonts w:ascii="Verdana" w:eastAsia="Arial Unicode MS" w:hAnsi="Verdana" w:cs="Verdana"/>
          <w:sz w:val="22"/>
          <w:szCs w:val="22"/>
          <w:lang w:bidi="pl-PL"/>
        </w:rPr>
        <w:t>Prezydent Miasta Jaworzna ma prawo do zamknięcia przetargu bez wybrania którejkolwiek z ofert. Komisja przetargowa dokonuje wyboru najkorzystniejszej oferty lub stwierdza, że nie wybiera żadnej ze złożonych ofert.</w:t>
      </w:r>
    </w:p>
    <w:p w14:paraId="736BCBE6" w14:textId="77777777" w:rsidR="00922B8B" w:rsidRDefault="00922B8B">
      <w:pPr>
        <w:pStyle w:val="Standard"/>
        <w:widowControl w:val="0"/>
        <w:ind w:left="510"/>
        <w:jc w:val="both"/>
        <w:rPr>
          <w:rFonts w:ascii="Verdana" w:hAnsi="Verdana" w:cs="Verdana"/>
          <w:sz w:val="22"/>
          <w:szCs w:val="22"/>
        </w:rPr>
      </w:pPr>
      <w:r>
        <w:rPr>
          <w:rFonts w:ascii="Verdana" w:eastAsia="Arial Unicode MS" w:hAnsi="Verdana" w:cs="Verdana"/>
          <w:sz w:val="22"/>
          <w:szCs w:val="22"/>
          <w:lang w:bidi="pl-PL"/>
        </w:rPr>
        <w:t xml:space="preserve">Prezydent Miasta Jaworzna może odwołać przetarg jedynie z ważnych powodów, </w:t>
      </w:r>
      <w:r>
        <w:rPr>
          <w:rFonts w:ascii="Verdana" w:eastAsia="Arial Unicode MS" w:hAnsi="Verdana" w:cs="Verdana"/>
          <w:sz w:val="22"/>
          <w:szCs w:val="22"/>
          <w:lang w:bidi="pl-PL"/>
        </w:rPr>
        <w:lastRenderedPageBreak/>
        <w:t>niezwłocznie podając informację o odwołaniu przetargu do publicznej wiadomości.</w:t>
      </w:r>
    </w:p>
    <w:p w14:paraId="097A3DF4" w14:textId="77777777" w:rsidR="00922B8B" w:rsidRDefault="00922B8B">
      <w:pPr>
        <w:pStyle w:val="Standard"/>
        <w:widowControl w:val="0"/>
        <w:ind w:left="510"/>
        <w:jc w:val="both"/>
        <w:rPr>
          <w:rFonts w:ascii="Verdana" w:eastAsia="Arial Unicode MS" w:hAnsi="Verdana" w:cs="Verdana"/>
          <w:sz w:val="22"/>
          <w:szCs w:val="22"/>
          <w:lang w:bidi="pl-PL"/>
        </w:rPr>
      </w:pPr>
      <w:r>
        <w:rPr>
          <w:rFonts w:ascii="Verdana" w:hAnsi="Verdana" w:cs="Verdana"/>
          <w:sz w:val="22"/>
          <w:szCs w:val="22"/>
        </w:rPr>
        <w:t>Niniejsze ogłoszenie zamieszczone zostanie na stronie internetowej Katowickiej Specjalnej Strefy Ekonomicznej S.A. www.ksse.com.pl oraz w siedzibie Katowickiej Specjalnej Strefy Ekonomicznej S.A., na stronie internetowej Biuletynu Informacji Publicznej Urzędu Miejskiego w Jaworznie www.bip.jaworzno.pl, w zakładce „Komunikaty i obwieszczenia” – „Nieruchomości” oraz na tablicy ogłoszeń w budynku głównym Urzędu Miejskiego w Jaworzn</w:t>
      </w:r>
      <w:r>
        <w:rPr>
          <w:rFonts w:ascii="Verdana" w:hAnsi="Verdana" w:cs="Verdana"/>
          <w:sz w:val="22"/>
          <w:szCs w:val="22"/>
        </w:rPr>
        <w:t>ie przy ul. Grunwaldzkiej 33</w:t>
      </w:r>
      <w:r>
        <w:rPr>
          <w:rFonts w:ascii="Verdana" w:eastAsia="Arial Unicode MS" w:hAnsi="Verdana" w:cs="Verdana"/>
          <w:sz w:val="22"/>
          <w:szCs w:val="22"/>
          <w:lang w:bidi="pl-PL"/>
        </w:rPr>
        <w:t>.</w:t>
      </w:r>
    </w:p>
    <w:p w14:paraId="31A775CF" w14:textId="77777777" w:rsidR="00922B8B" w:rsidRDefault="00922B8B">
      <w:pPr>
        <w:pStyle w:val="Standard"/>
        <w:widowControl w:val="0"/>
        <w:ind w:left="510"/>
        <w:jc w:val="both"/>
        <w:rPr>
          <w:rFonts w:ascii="Verdana" w:hAnsi="Verdana" w:cs="Verdana" w:hint="eastAsia"/>
          <w:sz w:val="22"/>
          <w:szCs w:val="22"/>
        </w:rPr>
      </w:pPr>
      <w:r>
        <w:rPr>
          <w:rFonts w:ascii="Verdana" w:eastAsia="Arial Unicode MS" w:hAnsi="Verdana" w:cs="Verdana"/>
          <w:sz w:val="22"/>
          <w:szCs w:val="22"/>
          <w:lang w:bidi="pl-PL"/>
        </w:rPr>
        <w:t>Szczegółowe informacje dot. procedury przetargowej uzyskać można w siedzibie Katowickiej Specjalnej Strefy Ekonomicznej S.A. Podstrefy Sosnowiecko-Dąbrowskiej w Sosnowcu, ul. Żytnia 8, tel. 32 298 89 69, w Wydziale Obrotu Nieruchomościami Urzędu Miejskiego w Jaworznie, Plac Górników 5, pok. 19, tel. 32 618 16 36.</w:t>
      </w:r>
    </w:p>
    <w:p w14:paraId="005F5A93" w14:textId="77777777" w:rsidR="00722E7B" w:rsidRDefault="00722E7B">
      <w:pPr>
        <w:pStyle w:val="Standard"/>
        <w:spacing w:after="160"/>
        <w:rPr>
          <w:rFonts w:ascii="Verdana" w:hAnsi="Verdana" w:cs="Verdana" w:hint="eastAsia"/>
          <w:sz w:val="22"/>
          <w:szCs w:val="22"/>
        </w:rPr>
      </w:pPr>
    </w:p>
    <w:sectPr w:rsidR="00722E7B">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F54EC4" w14:textId="77777777" w:rsidR="00722E7B" w:rsidRDefault="00722E7B" w:rsidP="00AC4C76">
      <w:r>
        <w:separator/>
      </w:r>
    </w:p>
  </w:endnote>
  <w:endnote w:type="continuationSeparator" w:id="0">
    <w:p w14:paraId="1D5E18E1" w14:textId="77777777" w:rsidR="00722E7B" w:rsidRDefault="00722E7B" w:rsidP="00AC4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iberation Serif">
    <w:altName w:val="Times New Roman"/>
    <w:charset w:val="EE"/>
    <w:family w:val="roman"/>
    <w:pitch w:val="variable"/>
  </w:font>
  <w:font w:name="NSimSun">
    <w:panose1 w:val="02010609030101010101"/>
    <w:charset w:val="86"/>
    <w:family w:val="modern"/>
    <w:pitch w:val="fixed"/>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HG Mincho Light J">
    <w:charset w:val="00"/>
    <w:family w:val="auto"/>
    <w:pitch w:val="variable"/>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A5DB5" w14:textId="77777777" w:rsidR="00AC4C76" w:rsidRDefault="00AC4C7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93815" w14:textId="77777777" w:rsidR="00AC4C76" w:rsidRDefault="00AC4C76">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6E8C7" w14:textId="77777777" w:rsidR="00AC4C76" w:rsidRDefault="00AC4C7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0024B5" w14:textId="77777777" w:rsidR="00722E7B" w:rsidRDefault="00722E7B" w:rsidP="00AC4C76">
      <w:r>
        <w:separator/>
      </w:r>
    </w:p>
  </w:footnote>
  <w:footnote w:type="continuationSeparator" w:id="0">
    <w:p w14:paraId="62603A2B" w14:textId="77777777" w:rsidR="00722E7B" w:rsidRDefault="00722E7B" w:rsidP="00AC4C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D3CE1" w14:textId="77777777" w:rsidR="00AC4C76" w:rsidRDefault="00AC4C7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0152C" w14:textId="77777777" w:rsidR="00AC4C76" w:rsidRDefault="00AC4C76">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C12C17" w14:textId="77777777" w:rsidR="00AC4C76" w:rsidRDefault="00AC4C7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1"/>
      <w:numFmt w:val="decimal"/>
      <w:lvlText w:val="%1)"/>
      <w:lvlJc w:val="left"/>
      <w:pPr>
        <w:tabs>
          <w:tab w:val="num" w:pos="0"/>
        </w:tabs>
        <w:ind w:left="397" w:hanging="397"/>
      </w:pPr>
      <w:rPr>
        <w:rFonts w:ascii="Verdana" w:hAnsi="Verdana" w:cs="Verdana" w:hint="default"/>
        <w:b/>
        <w:bCs/>
        <w:sz w:val="22"/>
        <w:szCs w:val="22"/>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1080" w:hanging="360"/>
      </w:pPr>
      <w:rPr>
        <w:rFonts w:hint="default"/>
      </w:rPr>
    </w:lvl>
    <w:lvl w:ilvl="3">
      <w:start w:val="1"/>
      <w:numFmt w:val="decimal"/>
      <w:lvlText w:val="(%4)"/>
      <w:lvlJc w:val="left"/>
      <w:pPr>
        <w:tabs>
          <w:tab w:val="num" w:pos="0"/>
        </w:tabs>
        <w:ind w:left="1440" w:hanging="360"/>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0" w:firstLine="0"/>
      </w:pPr>
      <w:rPr>
        <w:rFonts w:cs="Verdana" w:hint="default"/>
        <w:sz w:val="22"/>
        <w:szCs w:val="22"/>
      </w:rPr>
    </w:lvl>
    <w:lvl w:ilvl="1">
      <w:start w:val="1"/>
      <w:numFmt w:val="decimal"/>
      <w:lvlText w:val="%2)"/>
      <w:lvlJc w:val="left"/>
      <w:pPr>
        <w:tabs>
          <w:tab w:val="num" w:pos="0"/>
        </w:tabs>
        <w:ind w:left="360" w:hanging="360"/>
      </w:pPr>
      <w:rPr>
        <w:rFonts w:ascii="Verdana" w:hAnsi="Verdana" w:cs="Verdana" w:hint="default"/>
        <w:b w:val="0"/>
        <w:i w:val="0"/>
        <w:sz w:val="22"/>
      </w:rPr>
    </w:lvl>
    <w:lvl w:ilvl="2">
      <w:start w:val="1"/>
      <w:numFmt w:val="decimal"/>
      <w:lvlText w:val="."/>
      <w:lvlJc w:val="left"/>
      <w:pPr>
        <w:tabs>
          <w:tab w:val="num" w:pos="0"/>
        </w:tabs>
        <w:ind w:left="0" w:firstLine="0"/>
      </w:pPr>
      <w:rPr>
        <w:rFonts w:hint="default"/>
      </w:rPr>
    </w:lvl>
    <w:lvl w:ilvl="3">
      <w:start w:val="1"/>
      <w:numFmt w:val="decimal"/>
      <w:lvlText w:val="."/>
      <w:lvlJc w:val="left"/>
      <w:pPr>
        <w:tabs>
          <w:tab w:val="num" w:pos="0"/>
        </w:tabs>
        <w:ind w:left="0" w:firstLine="0"/>
      </w:pPr>
      <w:rPr>
        <w:rFonts w:hint="default"/>
      </w:rPr>
    </w:lvl>
    <w:lvl w:ilvl="4">
      <w:start w:val="1"/>
      <w:numFmt w:val="decimal"/>
      <w:lvlText w:val="."/>
      <w:lvlJc w:val="left"/>
      <w:pPr>
        <w:tabs>
          <w:tab w:val="num" w:pos="0"/>
        </w:tabs>
        <w:ind w:left="0" w:firstLine="0"/>
      </w:pPr>
      <w:rPr>
        <w:rFonts w:hint="default"/>
      </w:rPr>
    </w:lvl>
    <w:lvl w:ilvl="5">
      <w:start w:val="1"/>
      <w:numFmt w:val="decimal"/>
      <w:lvlText w:val="."/>
      <w:lvlJc w:val="left"/>
      <w:pPr>
        <w:tabs>
          <w:tab w:val="num" w:pos="0"/>
        </w:tabs>
        <w:ind w:left="0" w:firstLine="0"/>
      </w:pPr>
      <w:rPr>
        <w:rFonts w:hint="default"/>
      </w:rPr>
    </w:lvl>
    <w:lvl w:ilvl="6">
      <w:start w:val="1"/>
      <w:numFmt w:val="decimal"/>
      <w:lvlText w:val="."/>
      <w:lvlJc w:val="left"/>
      <w:pPr>
        <w:tabs>
          <w:tab w:val="num" w:pos="0"/>
        </w:tabs>
        <w:ind w:left="0" w:firstLine="0"/>
      </w:pPr>
      <w:rPr>
        <w:rFonts w:hint="default"/>
      </w:rPr>
    </w:lvl>
    <w:lvl w:ilvl="7">
      <w:start w:val="1"/>
      <w:numFmt w:val="decimal"/>
      <w:lvlText w:val="."/>
      <w:lvlJc w:val="left"/>
      <w:pPr>
        <w:tabs>
          <w:tab w:val="num" w:pos="0"/>
        </w:tabs>
        <w:ind w:left="0" w:firstLine="0"/>
      </w:pPr>
      <w:rPr>
        <w:rFonts w:hint="default"/>
      </w:rPr>
    </w:lvl>
    <w:lvl w:ilvl="8">
      <w:start w:val="1"/>
      <w:numFmt w:val="decimal"/>
      <w:lvlText w:val="."/>
      <w:lvlJc w:val="left"/>
      <w:pPr>
        <w:tabs>
          <w:tab w:val="num" w:pos="0"/>
        </w:tabs>
        <w:ind w:left="0" w:firstLine="0"/>
      </w:pPr>
      <w:rPr>
        <w:rFonts w:hint="default"/>
      </w:rPr>
    </w:lvl>
  </w:abstractNum>
  <w:abstractNum w:abstractNumId="2" w15:restartNumberingAfterBreak="0">
    <w:nsid w:val="00000003"/>
    <w:multiLevelType w:val="multilevel"/>
    <w:tmpl w:val="00000003"/>
    <w:name w:val="WW8Num3"/>
    <w:lvl w:ilvl="0">
      <w:start w:val="1"/>
      <w:numFmt w:val="decimal"/>
      <w:lvlText w:val="%1)"/>
      <w:lvlJc w:val="left"/>
      <w:pPr>
        <w:tabs>
          <w:tab w:val="num" w:pos="0"/>
        </w:tabs>
        <w:ind w:left="0" w:firstLine="0"/>
      </w:pPr>
      <w:rPr>
        <w:rFonts w:cs="Verdana"/>
        <w:sz w:val="22"/>
        <w:szCs w:val="22"/>
      </w:rPr>
    </w:lvl>
    <w:lvl w:ilvl="1">
      <w:start w:val="1"/>
      <w:numFmt w:val="decimal"/>
      <w:lvlText w:val=")"/>
      <w:lvlJc w:val="left"/>
      <w:pPr>
        <w:tabs>
          <w:tab w:val="num" w:pos="0"/>
        </w:tabs>
        <w:ind w:left="360" w:hanging="360"/>
      </w:pPr>
    </w:lvl>
    <w:lvl w:ilvl="2">
      <w:start w:val="1"/>
      <w:numFmt w:val="lowerLetter"/>
      <w:lvlText w:val="%3)"/>
      <w:lvlJc w:val="left"/>
      <w:pPr>
        <w:tabs>
          <w:tab w:val="num" w:pos="0"/>
        </w:tabs>
        <w:ind w:left="360" w:hanging="360"/>
      </w:pPr>
      <w:rPr>
        <w:rFonts w:ascii="Verdana" w:hAnsi="Verdana" w:cs="Verdana" w:hint="default"/>
        <w:b w:val="0"/>
        <w:i w:val="0"/>
        <w:sz w:val="22"/>
      </w:rPr>
    </w:lvl>
    <w:lvl w:ilvl="3">
      <w:start w:val="1"/>
      <w:numFmt w:val="decimal"/>
      <w:lvlText w:val="."/>
      <w:lvlJc w:val="left"/>
      <w:pPr>
        <w:tabs>
          <w:tab w:val="num" w:pos="0"/>
        </w:tabs>
        <w:ind w:left="0" w:firstLine="0"/>
      </w:pPr>
    </w:lvl>
    <w:lvl w:ilvl="4">
      <w:start w:val="1"/>
      <w:numFmt w:val="decimal"/>
      <w:lvlText w:val="."/>
      <w:lvlJc w:val="left"/>
      <w:pPr>
        <w:tabs>
          <w:tab w:val="num" w:pos="0"/>
        </w:tabs>
        <w:ind w:left="0" w:firstLine="0"/>
      </w:pPr>
    </w:lvl>
    <w:lvl w:ilvl="5">
      <w:start w:val="1"/>
      <w:numFmt w:val="decimal"/>
      <w:lvlText w:val="."/>
      <w:lvlJc w:val="left"/>
      <w:pPr>
        <w:tabs>
          <w:tab w:val="num" w:pos="0"/>
        </w:tabs>
        <w:ind w:left="0" w:firstLine="0"/>
      </w:pPr>
    </w:lvl>
    <w:lvl w:ilvl="6">
      <w:start w:val="1"/>
      <w:numFmt w:val="decimal"/>
      <w:lvlText w:val="."/>
      <w:lvlJc w:val="left"/>
      <w:pPr>
        <w:tabs>
          <w:tab w:val="num" w:pos="0"/>
        </w:tabs>
        <w:ind w:left="0" w:firstLine="0"/>
      </w:pPr>
    </w:lvl>
    <w:lvl w:ilvl="7">
      <w:start w:val="1"/>
      <w:numFmt w:val="decimal"/>
      <w:lvlText w:val="."/>
      <w:lvlJc w:val="left"/>
      <w:pPr>
        <w:tabs>
          <w:tab w:val="num" w:pos="0"/>
        </w:tabs>
        <w:ind w:left="0" w:firstLine="0"/>
      </w:pPr>
    </w:lvl>
    <w:lvl w:ilvl="8">
      <w:start w:val="1"/>
      <w:numFmt w:val="decimal"/>
      <w:lvlText w:val="."/>
      <w:lvlJc w:val="left"/>
      <w:pPr>
        <w:tabs>
          <w:tab w:val="num" w:pos="0"/>
        </w:tabs>
        <w:ind w:left="0" w:firstLine="0"/>
      </w:pPr>
    </w:lvl>
  </w:abstractNum>
  <w:abstractNum w:abstractNumId="3" w15:restartNumberingAfterBreak="0">
    <w:nsid w:val="00000004"/>
    <w:multiLevelType w:val="multilevel"/>
    <w:tmpl w:val="00000004"/>
    <w:name w:val="WW8Num4"/>
    <w:lvl w:ilvl="0">
      <w:start w:val="1"/>
      <w:numFmt w:val="decimal"/>
      <w:lvlText w:val="%1)"/>
      <w:lvlJc w:val="left"/>
      <w:pPr>
        <w:tabs>
          <w:tab w:val="num" w:pos="0"/>
        </w:tabs>
        <w:ind w:left="717" w:hanging="360"/>
      </w:pPr>
    </w:lvl>
    <w:lvl w:ilvl="1">
      <w:start w:val="1"/>
      <w:numFmt w:val="lowerLetter"/>
      <w:lvlText w:val="."/>
      <w:lvlJc w:val="left"/>
      <w:pPr>
        <w:tabs>
          <w:tab w:val="num" w:pos="0"/>
        </w:tabs>
        <w:ind w:left="1437" w:hanging="360"/>
      </w:pPr>
    </w:lvl>
    <w:lvl w:ilvl="2">
      <w:start w:val="1"/>
      <w:numFmt w:val="lowerRoman"/>
      <w:lvlText w:val="."/>
      <w:lvlJc w:val="right"/>
      <w:pPr>
        <w:tabs>
          <w:tab w:val="num" w:pos="0"/>
        </w:tabs>
        <w:ind w:left="2157" w:hanging="180"/>
      </w:pPr>
    </w:lvl>
    <w:lvl w:ilvl="3">
      <w:start w:val="1"/>
      <w:numFmt w:val="decimal"/>
      <w:lvlText w:val="."/>
      <w:lvlJc w:val="left"/>
      <w:pPr>
        <w:tabs>
          <w:tab w:val="num" w:pos="0"/>
        </w:tabs>
        <w:ind w:left="2877" w:hanging="360"/>
      </w:pPr>
    </w:lvl>
    <w:lvl w:ilvl="4">
      <w:start w:val="1"/>
      <w:numFmt w:val="lowerLetter"/>
      <w:lvlText w:val="."/>
      <w:lvlJc w:val="left"/>
      <w:pPr>
        <w:tabs>
          <w:tab w:val="num" w:pos="0"/>
        </w:tabs>
        <w:ind w:left="3597" w:hanging="360"/>
      </w:pPr>
    </w:lvl>
    <w:lvl w:ilvl="5">
      <w:start w:val="1"/>
      <w:numFmt w:val="lowerRoman"/>
      <w:lvlText w:val="."/>
      <w:lvlJc w:val="right"/>
      <w:pPr>
        <w:tabs>
          <w:tab w:val="num" w:pos="0"/>
        </w:tabs>
        <w:ind w:left="4317" w:hanging="180"/>
      </w:pPr>
    </w:lvl>
    <w:lvl w:ilvl="6">
      <w:start w:val="1"/>
      <w:numFmt w:val="decimal"/>
      <w:lvlText w:val="."/>
      <w:lvlJc w:val="left"/>
      <w:pPr>
        <w:tabs>
          <w:tab w:val="num" w:pos="0"/>
        </w:tabs>
        <w:ind w:left="5037" w:hanging="360"/>
      </w:pPr>
    </w:lvl>
    <w:lvl w:ilvl="7">
      <w:start w:val="1"/>
      <w:numFmt w:val="lowerLetter"/>
      <w:lvlText w:val="."/>
      <w:lvlJc w:val="left"/>
      <w:pPr>
        <w:tabs>
          <w:tab w:val="num" w:pos="0"/>
        </w:tabs>
        <w:ind w:left="5757" w:hanging="360"/>
      </w:pPr>
    </w:lvl>
    <w:lvl w:ilvl="8">
      <w:start w:val="1"/>
      <w:numFmt w:val="lowerRoman"/>
      <w:lvlText w:val="."/>
      <w:lvlJc w:val="right"/>
      <w:pPr>
        <w:tabs>
          <w:tab w:val="num" w:pos="0"/>
        </w:tabs>
        <w:ind w:left="6477" w:hanging="180"/>
      </w:p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0" w:firstLine="0"/>
      </w:pPr>
      <w:rPr>
        <w:rFonts w:cs="Verdana"/>
        <w:sz w:val="22"/>
        <w:szCs w:val="22"/>
      </w:rPr>
    </w:lvl>
    <w:lvl w:ilvl="1">
      <w:start w:val="1"/>
      <w:numFmt w:val="decimal"/>
      <w:lvlText w:val=")"/>
      <w:lvlJc w:val="left"/>
      <w:pPr>
        <w:tabs>
          <w:tab w:val="num" w:pos="0"/>
        </w:tabs>
        <w:ind w:left="360" w:hanging="360"/>
      </w:pPr>
    </w:lvl>
    <w:lvl w:ilvl="2">
      <w:start w:val="1"/>
      <w:numFmt w:val="lowerLetter"/>
      <w:lvlText w:val="%3)"/>
      <w:lvlJc w:val="left"/>
      <w:pPr>
        <w:tabs>
          <w:tab w:val="num" w:pos="0"/>
        </w:tabs>
        <w:ind w:left="360" w:hanging="360"/>
      </w:pPr>
      <w:rPr>
        <w:rFonts w:ascii="Verdana" w:hAnsi="Verdana" w:cs="Verdana" w:hint="default"/>
        <w:b w:val="0"/>
        <w:i w:val="0"/>
        <w:sz w:val="22"/>
      </w:rPr>
    </w:lvl>
    <w:lvl w:ilvl="3">
      <w:start w:val="1"/>
      <w:numFmt w:val="decimal"/>
      <w:lvlText w:val="."/>
      <w:lvlJc w:val="left"/>
      <w:pPr>
        <w:tabs>
          <w:tab w:val="num" w:pos="0"/>
        </w:tabs>
        <w:ind w:left="0" w:firstLine="0"/>
      </w:pPr>
    </w:lvl>
    <w:lvl w:ilvl="4">
      <w:start w:val="1"/>
      <w:numFmt w:val="decimal"/>
      <w:lvlText w:val="."/>
      <w:lvlJc w:val="left"/>
      <w:pPr>
        <w:tabs>
          <w:tab w:val="num" w:pos="0"/>
        </w:tabs>
        <w:ind w:left="0" w:firstLine="0"/>
      </w:pPr>
    </w:lvl>
    <w:lvl w:ilvl="5">
      <w:start w:val="1"/>
      <w:numFmt w:val="decimal"/>
      <w:lvlText w:val="."/>
      <w:lvlJc w:val="left"/>
      <w:pPr>
        <w:tabs>
          <w:tab w:val="num" w:pos="0"/>
        </w:tabs>
        <w:ind w:left="0" w:firstLine="0"/>
      </w:pPr>
    </w:lvl>
    <w:lvl w:ilvl="6">
      <w:start w:val="1"/>
      <w:numFmt w:val="decimal"/>
      <w:lvlText w:val="."/>
      <w:lvlJc w:val="left"/>
      <w:pPr>
        <w:tabs>
          <w:tab w:val="num" w:pos="0"/>
        </w:tabs>
        <w:ind w:left="0" w:firstLine="0"/>
      </w:pPr>
    </w:lvl>
    <w:lvl w:ilvl="7">
      <w:start w:val="1"/>
      <w:numFmt w:val="decimal"/>
      <w:lvlText w:val="."/>
      <w:lvlJc w:val="left"/>
      <w:pPr>
        <w:tabs>
          <w:tab w:val="num" w:pos="0"/>
        </w:tabs>
        <w:ind w:left="0" w:firstLine="0"/>
      </w:pPr>
    </w:lvl>
    <w:lvl w:ilvl="8">
      <w:start w:val="1"/>
      <w:numFmt w:val="decimal"/>
      <w:lvlText w:val="."/>
      <w:lvlJc w:val="left"/>
      <w:pPr>
        <w:tabs>
          <w:tab w:val="num" w:pos="0"/>
        </w:tabs>
        <w:ind w:left="0" w:firstLine="0"/>
      </w:pPr>
    </w:lvl>
  </w:abstractNum>
  <w:abstractNum w:abstractNumId="5" w15:restartNumberingAfterBreak="0">
    <w:nsid w:val="00000006"/>
    <w:multiLevelType w:val="multilevel"/>
    <w:tmpl w:val="00000006"/>
    <w:name w:val="WW8Num6"/>
    <w:lvl w:ilvl="0">
      <w:start w:val="1"/>
      <w:numFmt w:val="decimal"/>
      <w:lvlText w:val="%1)"/>
      <w:lvlJc w:val="left"/>
      <w:pPr>
        <w:tabs>
          <w:tab w:val="num" w:pos="0"/>
        </w:tabs>
        <w:ind w:left="0" w:firstLine="0"/>
      </w:pPr>
      <w:rPr>
        <w:rFonts w:cs="Verdana"/>
        <w:sz w:val="22"/>
        <w:szCs w:val="22"/>
      </w:rPr>
    </w:lvl>
    <w:lvl w:ilvl="1">
      <w:start w:val="1"/>
      <w:numFmt w:val="decimal"/>
      <w:lvlText w:val=")"/>
      <w:lvlJc w:val="left"/>
      <w:pPr>
        <w:tabs>
          <w:tab w:val="num" w:pos="0"/>
        </w:tabs>
        <w:ind w:left="360" w:hanging="360"/>
      </w:pPr>
    </w:lvl>
    <w:lvl w:ilvl="2">
      <w:start w:val="1"/>
      <w:numFmt w:val="lowerLetter"/>
      <w:lvlText w:val="%3)"/>
      <w:lvlJc w:val="left"/>
      <w:pPr>
        <w:tabs>
          <w:tab w:val="num" w:pos="0"/>
        </w:tabs>
        <w:ind w:left="360" w:hanging="360"/>
      </w:pPr>
      <w:rPr>
        <w:rFonts w:ascii="Verdana" w:hAnsi="Verdana" w:cs="Verdana" w:hint="default"/>
        <w:b w:val="0"/>
        <w:i w:val="0"/>
        <w:sz w:val="22"/>
      </w:rPr>
    </w:lvl>
    <w:lvl w:ilvl="3">
      <w:start w:val="1"/>
      <w:numFmt w:val="decimal"/>
      <w:lvlText w:val="."/>
      <w:lvlJc w:val="left"/>
      <w:pPr>
        <w:tabs>
          <w:tab w:val="num" w:pos="0"/>
        </w:tabs>
        <w:ind w:left="0" w:firstLine="0"/>
      </w:pPr>
    </w:lvl>
    <w:lvl w:ilvl="4">
      <w:start w:val="1"/>
      <w:numFmt w:val="decimal"/>
      <w:lvlText w:val="."/>
      <w:lvlJc w:val="left"/>
      <w:pPr>
        <w:tabs>
          <w:tab w:val="num" w:pos="0"/>
        </w:tabs>
        <w:ind w:left="0" w:firstLine="0"/>
      </w:pPr>
    </w:lvl>
    <w:lvl w:ilvl="5">
      <w:start w:val="1"/>
      <w:numFmt w:val="decimal"/>
      <w:lvlText w:val="."/>
      <w:lvlJc w:val="left"/>
      <w:pPr>
        <w:tabs>
          <w:tab w:val="num" w:pos="0"/>
        </w:tabs>
        <w:ind w:left="0" w:firstLine="0"/>
      </w:pPr>
    </w:lvl>
    <w:lvl w:ilvl="6">
      <w:start w:val="1"/>
      <w:numFmt w:val="decimal"/>
      <w:lvlText w:val="."/>
      <w:lvlJc w:val="left"/>
      <w:pPr>
        <w:tabs>
          <w:tab w:val="num" w:pos="0"/>
        </w:tabs>
        <w:ind w:left="0" w:firstLine="0"/>
      </w:pPr>
    </w:lvl>
    <w:lvl w:ilvl="7">
      <w:start w:val="1"/>
      <w:numFmt w:val="decimal"/>
      <w:lvlText w:val="."/>
      <w:lvlJc w:val="left"/>
      <w:pPr>
        <w:tabs>
          <w:tab w:val="num" w:pos="0"/>
        </w:tabs>
        <w:ind w:left="0" w:firstLine="0"/>
      </w:pPr>
    </w:lvl>
    <w:lvl w:ilvl="8">
      <w:start w:val="1"/>
      <w:numFmt w:val="decimal"/>
      <w:lvlText w:val="."/>
      <w:lvlJc w:val="left"/>
      <w:pPr>
        <w:tabs>
          <w:tab w:val="num" w:pos="0"/>
        </w:tabs>
        <w:ind w:left="0" w:firstLine="0"/>
      </w:pPr>
    </w:lvl>
  </w:abstractNum>
  <w:abstractNum w:abstractNumId="6" w15:restartNumberingAfterBreak="0">
    <w:nsid w:val="00000007"/>
    <w:multiLevelType w:val="multilevel"/>
    <w:tmpl w:val="00000007"/>
    <w:name w:val="WW8Num7"/>
    <w:lvl w:ilvl="0">
      <w:start w:val="1"/>
      <w:numFmt w:val="decimal"/>
      <w:lvlText w:val="%1."/>
      <w:lvlJc w:val="left"/>
      <w:pPr>
        <w:tabs>
          <w:tab w:val="num" w:pos="0"/>
        </w:tabs>
        <w:ind w:left="720" w:hanging="360"/>
      </w:pPr>
      <w:rPr>
        <w:rFonts w:ascii="Verdana" w:hAnsi="Verdana" w:cs="Verdana"/>
        <w:b w:val="0"/>
        <w:i w:val="0"/>
        <w:sz w:val="22"/>
      </w:rPr>
    </w:lvl>
    <w:lvl w:ilvl="1">
      <w:start w:val="1"/>
      <w:numFmt w:val="lowerLetter"/>
      <w:lvlText w:val="."/>
      <w:lvlJc w:val="left"/>
      <w:pPr>
        <w:tabs>
          <w:tab w:val="num" w:pos="0"/>
        </w:tabs>
        <w:ind w:left="1440" w:hanging="360"/>
      </w:pPr>
    </w:lvl>
    <w:lvl w:ilvl="2">
      <w:start w:val="1"/>
      <w:numFmt w:val="lowerRoman"/>
      <w:lvlText w:val="."/>
      <w:lvlJc w:val="right"/>
      <w:pPr>
        <w:tabs>
          <w:tab w:val="num" w:pos="0"/>
        </w:tabs>
        <w:ind w:left="2160" w:hanging="180"/>
      </w:pPr>
    </w:lvl>
    <w:lvl w:ilvl="3">
      <w:start w:val="1"/>
      <w:numFmt w:val="decimal"/>
      <w:lvlText w:val="."/>
      <w:lvlJc w:val="left"/>
      <w:pPr>
        <w:tabs>
          <w:tab w:val="num" w:pos="0"/>
        </w:tabs>
        <w:ind w:left="2880" w:hanging="360"/>
      </w:pPr>
    </w:lvl>
    <w:lvl w:ilvl="4">
      <w:start w:val="1"/>
      <w:numFmt w:val="lowerLetter"/>
      <w:lvlText w:val="."/>
      <w:lvlJc w:val="left"/>
      <w:pPr>
        <w:tabs>
          <w:tab w:val="num" w:pos="0"/>
        </w:tabs>
        <w:ind w:left="3600" w:hanging="360"/>
      </w:pPr>
    </w:lvl>
    <w:lvl w:ilvl="5">
      <w:start w:val="1"/>
      <w:numFmt w:val="lowerRoman"/>
      <w:lvlText w:val="."/>
      <w:lvlJc w:val="right"/>
      <w:pPr>
        <w:tabs>
          <w:tab w:val="num" w:pos="0"/>
        </w:tabs>
        <w:ind w:left="4320" w:hanging="180"/>
      </w:pPr>
    </w:lvl>
    <w:lvl w:ilvl="6">
      <w:start w:val="1"/>
      <w:numFmt w:val="decimal"/>
      <w:lvlText w:val="."/>
      <w:lvlJc w:val="left"/>
      <w:pPr>
        <w:tabs>
          <w:tab w:val="num" w:pos="0"/>
        </w:tabs>
        <w:ind w:left="5040" w:hanging="360"/>
      </w:pPr>
    </w:lvl>
    <w:lvl w:ilvl="7">
      <w:start w:val="1"/>
      <w:numFmt w:val="lowerLetter"/>
      <w:lvlText w:val="."/>
      <w:lvlJc w:val="left"/>
      <w:pPr>
        <w:tabs>
          <w:tab w:val="num" w:pos="0"/>
        </w:tabs>
        <w:ind w:left="5760" w:hanging="360"/>
      </w:pPr>
    </w:lvl>
    <w:lvl w:ilvl="8">
      <w:start w:val="1"/>
      <w:numFmt w:val="lowerRoman"/>
      <w:lvlText w:val="."/>
      <w:lvlJc w:val="right"/>
      <w:pPr>
        <w:tabs>
          <w:tab w:val="num" w:pos="0"/>
        </w:tabs>
        <w:ind w:left="6480" w:hanging="180"/>
      </w:pPr>
    </w:lvl>
  </w:abstractNum>
  <w:abstractNum w:abstractNumId="7" w15:restartNumberingAfterBreak="0">
    <w:nsid w:val="00000008"/>
    <w:multiLevelType w:val="multilevel"/>
    <w:tmpl w:val="00000008"/>
    <w:name w:val="WW8Num8"/>
    <w:lvl w:ilvl="0">
      <w:start w:val="1"/>
      <w:numFmt w:val="decimal"/>
      <w:lvlText w:val="%1)"/>
      <w:lvlJc w:val="left"/>
      <w:pPr>
        <w:tabs>
          <w:tab w:val="num" w:pos="0"/>
        </w:tabs>
        <w:ind w:left="5464" w:hanging="360"/>
      </w:pPr>
    </w:lvl>
    <w:lvl w:ilvl="1">
      <w:start w:val="1"/>
      <w:numFmt w:val="lowerLetter"/>
      <w:lvlText w:val="."/>
      <w:lvlJc w:val="left"/>
      <w:pPr>
        <w:tabs>
          <w:tab w:val="num" w:pos="0"/>
        </w:tabs>
        <w:ind w:left="1437" w:hanging="360"/>
      </w:pPr>
    </w:lvl>
    <w:lvl w:ilvl="2">
      <w:start w:val="1"/>
      <w:numFmt w:val="lowerRoman"/>
      <w:lvlText w:val="."/>
      <w:lvlJc w:val="right"/>
      <w:pPr>
        <w:tabs>
          <w:tab w:val="num" w:pos="0"/>
        </w:tabs>
        <w:ind w:left="2157" w:hanging="180"/>
      </w:pPr>
    </w:lvl>
    <w:lvl w:ilvl="3">
      <w:start w:val="1"/>
      <w:numFmt w:val="decimal"/>
      <w:lvlText w:val="."/>
      <w:lvlJc w:val="left"/>
      <w:pPr>
        <w:tabs>
          <w:tab w:val="num" w:pos="0"/>
        </w:tabs>
        <w:ind w:left="2877" w:hanging="360"/>
      </w:pPr>
    </w:lvl>
    <w:lvl w:ilvl="4">
      <w:start w:val="1"/>
      <w:numFmt w:val="lowerLetter"/>
      <w:lvlText w:val="."/>
      <w:lvlJc w:val="left"/>
      <w:pPr>
        <w:tabs>
          <w:tab w:val="num" w:pos="0"/>
        </w:tabs>
        <w:ind w:left="3597" w:hanging="360"/>
      </w:pPr>
    </w:lvl>
    <w:lvl w:ilvl="5">
      <w:start w:val="1"/>
      <w:numFmt w:val="lowerRoman"/>
      <w:lvlText w:val="."/>
      <w:lvlJc w:val="right"/>
      <w:pPr>
        <w:tabs>
          <w:tab w:val="num" w:pos="0"/>
        </w:tabs>
        <w:ind w:left="4317" w:hanging="180"/>
      </w:pPr>
    </w:lvl>
    <w:lvl w:ilvl="6">
      <w:start w:val="1"/>
      <w:numFmt w:val="decimal"/>
      <w:lvlText w:val="."/>
      <w:lvlJc w:val="left"/>
      <w:pPr>
        <w:tabs>
          <w:tab w:val="num" w:pos="0"/>
        </w:tabs>
        <w:ind w:left="5037" w:hanging="360"/>
      </w:pPr>
    </w:lvl>
    <w:lvl w:ilvl="7">
      <w:start w:val="1"/>
      <w:numFmt w:val="lowerLetter"/>
      <w:lvlText w:val="."/>
      <w:lvlJc w:val="left"/>
      <w:pPr>
        <w:tabs>
          <w:tab w:val="num" w:pos="0"/>
        </w:tabs>
        <w:ind w:left="5757" w:hanging="360"/>
      </w:pPr>
    </w:lvl>
    <w:lvl w:ilvl="8">
      <w:start w:val="1"/>
      <w:numFmt w:val="lowerRoman"/>
      <w:lvlText w:val="."/>
      <w:lvlJc w:val="right"/>
      <w:pPr>
        <w:tabs>
          <w:tab w:val="num" w:pos="0"/>
        </w:tabs>
        <w:ind w:left="6477" w:hanging="180"/>
      </w:pPr>
    </w:lvl>
  </w:abstractNum>
  <w:abstractNum w:abstractNumId="8" w15:restartNumberingAfterBreak="0">
    <w:nsid w:val="00000009"/>
    <w:multiLevelType w:val="multilevel"/>
    <w:tmpl w:val="00000009"/>
    <w:name w:val="WW8Num9"/>
    <w:lvl w:ilvl="0">
      <w:start w:val="1"/>
      <w:numFmt w:val="decimal"/>
      <w:lvlText w:val="%1)"/>
      <w:lvlJc w:val="left"/>
      <w:pPr>
        <w:tabs>
          <w:tab w:val="num" w:pos="0"/>
        </w:tabs>
        <w:ind w:left="360" w:hanging="360"/>
      </w:pPr>
      <w:rPr>
        <w:rFonts w:ascii="Verdana" w:eastAsia="Times New Roman" w:hAnsi="Verdana" w:cs="Verdana"/>
        <w:b w:val="0"/>
        <w:bCs/>
        <w:sz w:val="22"/>
        <w:szCs w:val="22"/>
      </w:rPr>
    </w:lvl>
    <w:lvl w:ilvl="1">
      <w:start w:val="1"/>
      <w:numFmt w:val="lowerLetter"/>
      <w:lvlText w:val="."/>
      <w:lvlJc w:val="left"/>
      <w:pPr>
        <w:tabs>
          <w:tab w:val="num" w:pos="0"/>
        </w:tabs>
        <w:ind w:left="0" w:firstLine="0"/>
      </w:pPr>
    </w:lvl>
    <w:lvl w:ilvl="2">
      <w:start w:val="1"/>
      <w:numFmt w:val="lowerRoman"/>
      <w:lvlText w:val="."/>
      <w:lvlJc w:val="right"/>
      <w:pPr>
        <w:tabs>
          <w:tab w:val="num" w:pos="0"/>
        </w:tabs>
        <w:ind w:left="0" w:firstLine="0"/>
      </w:pPr>
    </w:lvl>
    <w:lvl w:ilvl="3">
      <w:start w:val="1"/>
      <w:numFmt w:val="decimal"/>
      <w:lvlText w:val="."/>
      <w:lvlJc w:val="left"/>
      <w:pPr>
        <w:tabs>
          <w:tab w:val="num" w:pos="0"/>
        </w:tabs>
        <w:ind w:left="0" w:firstLine="0"/>
      </w:pPr>
    </w:lvl>
    <w:lvl w:ilvl="4">
      <w:start w:val="1"/>
      <w:numFmt w:val="lowerLetter"/>
      <w:lvlText w:val="."/>
      <w:lvlJc w:val="left"/>
      <w:pPr>
        <w:tabs>
          <w:tab w:val="num" w:pos="0"/>
        </w:tabs>
        <w:ind w:left="0" w:firstLine="0"/>
      </w:pPr>
    </w:lvl>
    <w:lvl w:ilvl="5">
      <w:start w:val="1"/>
      <w:numFmt w:val="lowerRoman"/>
      <w:lvlText w:val="."/>
      <w:lvlJc w:val="right"/>
      <w:pPr>
        <w:tabs>
          <w:tab w:val="num" w:pos="0"/>
        </w:tabs>
        <w:ind w:left="0" w:firstLine="0"/>
      </w:pPr>
    </w:lvl>
    <w:lvl w:ilvl="6">
      <w:start w:val="1"/>
      <w:numFmt w:val="decimal"/>
      <w:lvlText w:val="."/>
      <w:lvlJc w:val="left"/>
      <w:pPr>
        <w:tabs>
          <w:tab w:val="num" w:pos="0"/>
        </w:tabs>
        <w:ind w:left="0" w:firstLine="0"/>
      </w:pPr>
    </w:lvl>
    <w:lvl w:ilvl="7">
      <w:start w:val="1"/>
      <w:numFmt w:val="lowerLetter"/>
      <w:lvlText w:val="."/>
      <w:lvlJc w:val="left"/>
      <w:pPr>
        <w:tabs>
          <w:tab w:val="num" w:pos="0"/>
        </w:tabs>
        <w:ind w:left="0" w:firstLine="0"/>
      </w:pPr>
    </w:lvl>
    <w:lvl w:ilvl="8">
      <w:start w:val="1"/>
      <w:numFmt w:val="lowerRoman"/>
      <w:lvlText w:val="."/>
      <w:lvlJc w:val="right"/>
      <w:pPr>
        <w:tabs>
          <w:tab w:val="num" w:pos="0"/>
        </w:tabs>
        <w:ind w:left="0" w:firstLine="0"/>
      </w:pPr>
    </w:lvl>
  </w:abstractNum>
  <w:abstractNum w:abstractNumId="9" w15:restartNumberingAfterBreak="0">
    <w:nsid w:val="0000000A"/>
    <w:multiLevelType w:val="multilevel"/>
    <w:tmpl w:val="0000000A"/>
    <w:name w:val="WW8Num1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0000000B"/>
    <w:multiLevelType w:val="multilevel"/>
    <w:tmpl w:val="0000000B"/>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480340100">
    <w:abstractNumId w:val="0"/>
  </w:num>
  <w:num w:numId="2" w16cid:durableId="740979918">
    <w:abstractNumId w:val="1"/>
  </w:num>
  <w:num w:numId="3" w16cid:durableId="1316107540">
    <w:abstractNumId w:val="2"/>
  </w:num>
  <w:num w:numId="4" w16cid:durableId="136337915">
    <w:abstractNumId w:val="3"/>
  </w:num>
  <w:num w:numId="5" w16cid:durableId="760641883">
    <w:abstractNumId w:val="4"/>
  </w:num>
  <w:num w:numId="6" w16cid:durableId="1646277438">
    <w:abstractNumId w:val="5"/>
  </w:num>
  <w:num w:numId="7" w16cid:durableId="564537083">
    <w:abstractNumId w:val="6"/>
  </w:num>
  <w:num w:numId="8" w16cid:durableId="774984312">
    <w:abstractNumId w:val="7"/>
  </w:num>
  <w:num w:numId="9" w16cid:durableId="59139331">
    <w:abstractNumId w:val="8"/>
  </w:num>
  <w:num w:numId="10" w16cid:durableId="1679191123">
    <w:abstractNumId w:val="9"/>
  </w:num>
  <w:num w:numId="11" w16cid:durableId="2099214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971"/>
    <w:rsid w:val="00622971"/>
    <w:rsid w:val="00722E7B"/>
    <w:rsid w:val="00922B8B"/>
    <w:rsid w:val="00AC4C76"/>
    <w:rsid w:val="00BD756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oNotEmbedSmartTags/>
  <w:decimalSymbol w:val=","/>
  <w:listSeparator w:val=";"/>
  <w14:docId w14:val="6EAC468C"/>
  <w15:chartTrackingRefBased/>
  <w15:docId w15:val="{E04820D7-9F3D-4E8C-8089-72B3198F8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textAlignment w:val="baseline"/>
    </w:pPr>
    <w:rPr>
      <w:rFonts w:ascii="Verdana" w:hAnsi="Verdana" w:cs="Verdana"/>
      <w:color w:val="000000"/>
      <w:kern w:val="2"/>
      <w:sz w:val="22"/>
      <w:szCs w:val="22"/>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Verdana" w:hAnsi="Verdana" w:cs="Verdana" w:hint="default"/>
      <w:b/>
      <w:bCs/>
      <w:sz w:val="22"/>
      <w:szCs w:val="22"/>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customStyle="1" w:styleId="WW8Num1z1">
    <w:name w:val="WW8Num1z1"/>
    <w:rPr>
      <w:rFonts w:hint="default"/>
    </w:rPr>
  </w:style>
  <w:style w:type="character" w:customStyle="1" w:styleId="WW8Num2z0">
    <w:name w:val="WW8Num2z0"/>
    <w:rPr>
      <w:rFonts w:cs="Verdana" w:hint="default"/>
      <w:sz w:val="22"/>
      <w:szCs w:val="22"/>
    </w:rPr>
  </w:style>
  <w:style w:type="character" w:customStyle="1" w:styleId="WW8Num2z1">
    <w:name w:val="WW8Num2z1"/>
    <w:rPr>
      <w:rFonts w:ascii="Verdana" w:hAnsi="Verdana" w:cs="Verdana" w:hint="default"/>
      <w:b w:val="0"/>
      <w:i w:val="0"/>
      <w:sz w:val="22"/>
    </w:rPr>
  </w:style>
  <w:style w:type="character" w:customStyle="1" w:styleId="WW8Num2z2">
    <w:name w:val="WW8Num2z2"/>
    <w:rPr>
      <w:rFonts w:hint="default"/>
    </w:rPr>
  </w:style>
  <w:style w:type="character" w:customStyle="1" w:styleId="WW8Num3z0">
    <w:name w:val="WW8Num3z0"/>
    <w:rPr>
      <w:rFonts w:cs="Verdana"/>
      <w:sz w:val="22"/>
      <w:szCs w:val="22"/>
    </w:rPr>
  </w:style>
  <w:style w:type="character" w:customStyle="1" w:styleId="WW8Num3z2">
    <w:name w:val="WW8Num3z2"/>
    <w:rPr>
      <w:rFonts w:ascii="Verdana" w:hAnsi="Verdana" w:cs="Verdana" w:hint="default"/>
      <w:b w:val="0"/>
      <w:i w:val="0"/>
      <w:sz w:val="22"/>
    </w:rPr>
  </w:style>
  <w:style w:type="character" w:customStyle="1" w:styleId="WW8Num5z0">
    <w:name w:val="WW8Num5z0"/>
    <w:rPr>
      <w:rFonts w:cs="Verdana"/>
      <w:sz w:val="22"/>
      <w:szCs w:val="22"/>
    </w:rPr>
  </w:style>
  <w:style w:type="character" w:customStyle="1" w:styleId="WW8Num5z2">
    <w:name w:val="WW8Num5z2"/>
    <w:rPr>
      <w:rFonts w:ascii="Verdana" w:hAnsi="Verdana" w:cs="Verdana" w:hint="default"/>
      <w:b w:val="0"/>
      <w:i w:val="0"/>
      <w:sz w:val="22"/>
    </w:rPr>
  </w:style>
  <w:style w:type="character" w:customStyle="1" w:styleId="WW8Num6z0">
    <w:name w:val="WW8Num6z0"/>
    <w:rPr>
      <w:rFonts w:cs="Verdana"/>
      <w:sz w:val="22"/>
      <w:szCs w:val="22"/>
    </w:rPr>
  </w:style>
  <w:style w:type="character" w:customStyle="1" w:styleId="WW8Num6z2">
    <w:name w:val="WW8Num6z2"/>
    <w:rPr>
      <w:rFonts w:ascii="Verdana" w:hAnsi="Verdana" w:cs="Verdana" w:hint="default"/>
      <w:b w:val="0"/>
      <w:i w:val="0"/>
      <w:sz w:val="22"/>
    </w:rPr>
  </w:style>
  <w:style w:type="character" w:customStyle="1" w:styleId="WW8Num7z0">
    <w:name w:val="WW8Num7z0"/>
    <w:rPr>
      <w:rFonts w:ascii="Verdana" w:hAnsi="Verdana" w:cs="Verdana"/>
      <w:b w:val="0"/>
      <w:i w:val="0"/>
      <w:sz w:val="22"/>
    </w:rPr>
  </w:style>
  <w:style w:type="character" w:customStyle="1" w:styleId="WW8Num9z0">
    <w:name w:val="WW8Num9z0"/>
    <w:rPr>
      <w:rFonts w:ascii="Verdana" w:eastAsia="Times New Roman" w:hAnsi="Verdana" w:cs="Verdana"/>
      <w:b w:val="0"/>
      <w:bCs/>
      <w:sz w:val="22"/>
      <w:szCs w:val="22"/>
    </w:rPr>
  </w:style>
  <w:style w:type="character" w:customStyle="1" w:styleId="WW8Num11z0">
    <w:name w:val="WW8Num11z0"/>
    <w:rPr>
      <w:rFonts w:cs="Verdana"/>
      <w:sz w:val="22"/>
      <w:szCs w:val="22"/>
    </w:rPr>
  </w:style>
  <w:style w:type="character" w:customStyle="1" w:styleId="WW8Num11z1">
    <w:name w:val="WW8Num11z1"/>
    <w:rPr>
      <w:rFonts w:ascii="Verdana" w:hAnsi="Verdana" w:cs="Verdana" w:hint="default"/>
      <w:b w:val="0"/>
      <w:i w:val="0"/>
      <w:sz w:val="22"/>
    </w:rPr>
  </w:style>
  <w:style w:type="character" w:customStyle="1" w:styleId="WW8Num12z0">
    <w:name w:val="WW8Num12z0"/>
    <w:rPr>
      <w:rFonts w:ascii="Symbol" w:hAnsi="Symbol" w:cs="Symbol"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3z0">
    <w:name w:val="WW8Num13z0"/>
    <w:rPr>
      <w:rFonts w:cs="Verdana"/>
      <w:sz w:val="22"/>
      <w:szCs w:val="22"/>
    </w:rPr>
  </w:style>
  <w:style w:type="character" w:customStyle="1" w:styleId="WW8Num13z1">
    <w:name w:val="WW8Num13z1"/>
    <w:rPr>
      <w:rFonts w:ascii="Verdana" w:hAnsi="Verdana" w:cs="Verdana" w:hint="default"/>
      <w:b w:val="0"/>
      <w:i w:val="0"/>
      <w:sz w:val="22"/>
    </w:rPr>
  </w:style>
  <w:style w:type="character" w:customStyle="1" w:styleId="WW8Num14z0">
    <w:name w:val="WW8Num14z0"/>
    <w:rPr>
      <w:rFonts w:cs="Verdana" w:hint="default"/>
      <w:sz w:val="22"/>
      <w:szCs w:val="22"/>
    </w:rPr>
  </w:style>
  <w:style w:type="character" w:customStyle="1" w:styleId="WW8Num14z1">
    <w:name w:val="WW8Num14z1"/>
    <w:rPr>
      <w:rFonts w:ascii="Verdana" w:hAnsi="Verdana" w:cs="Verdana" w:hint="default"/>
      <w:b w:val="0"/>
      <w:i w:val="0"/>
      <w:sz w:val="22"/>
    </w:rPr>
  </w:style>
  <w:style w:type="character" w:customStyle="1" w:styleId="WW8Num14z2">
    <w:name w:val="WW8Num14z2"/>
    <w:rPr>
      <w:rFonts w:hint="default"/>
    </w:rPr>
  </w:style>
  <w:style w:type="character" w:customStyle="1" w:styleId="WW8Num15z0">
    <w:name w:val="WW8Num15z0"/>
    <w:rPr>
      <w:rFonts w:cs="Verdana" w:hint="default"/>
      <w:sz w:val="22"/>
      <w:szCs w:val="22"/>
    </w:rPr>
  </w:style>
  <w:style w:type="character" w:customStyle="1" w:styleId="WW8Num15z1">
    <w:name w:val="WW8Num15z1"/>
    <w:rPr>
      <w:rFonts w:ascii="Verdana" w:hAnsi="Verdana" w:cs="Verdana" w:hint="default"/>
      <w:b w:val="0"/>
      <w:i w:val="0"/>
      <w:sz w:val="22"/>
    </w:rPr>
  </w:style>
  <w:style w:type="character" w:customStyle="1" w:styleId="WW8Num15z2">
    <w:name w:val="WW8Num15z2"/>
    <w:rPr>
      <w:rFonts w:hint="default"/>
    </w:rPr>
  </w:style>
  <w:style w:type="character" w:customStyle="1" w:styleId="WW8Num16z0">
    <w:name w:val="WW8Num16z0"/>
    <w:rPr>
      <w:rFonts w:cs="Verdana"/>
      <w:sz w:val="22"/>
      <w:szCs w:val="22"/>
    </w:rPr>
  </w:style>
  <w:style w:type="character" w:customStyle="1" w:styleId="WW8Num16z1">
    <w:name w:val="WW8Num16z1"/>
    <w:rPr>
      <w:rFonts w:ascii="Verdana" w:hAnsi="Verdana" w:cs="Verdana" w:hint="default"/>
      <w:b w:val="0"/>
      <w:i w:val="0"/>
      <w:sz w:val="22"/>
    </w:rPr>
  </w:style>
  <w:style w:type="character" w:customStyle="1" w:styleId="WW8Num17z0">
    <w:name w:val="WW8Num17z0"/>
    <w:rPr>
      <w:rFonts w:cs="Verdana" w:hint="default"/>
      <w:sz w:val="22"/>
      <w:szCs w:val="22"/>
    </w:rPr>
  </w:style>
  <w:style w:type="character" w:customStyle="1" w:styleId="WW8Num17z1">
    <w:name w:val="WW8Num17z1"/>
    <w:rPr>
      <w:rFonts w:ascii="Verdana" w:hAnsi="Verdana" w:cs="Verdana" w:hint="default"/>
      <w:b w:val="0"/>
      <w:i w:val="0"/>
      <w:sz w:val="22"/>
    </w:rPr>
  </w:style>
  <w:style w:type="character" w:customStyle="1" w:styleId="WW8Num17z2">
    <w:name w:val="WW8Num17z2"/>
    <w:rPr>
      <w:rFonts w:hint="default"/>
    </w:rPr>
  </w:style>
  <w:style w:type="character" w:customStyle="1" w:styleId="Domylnaczcionkaakapitu3">
    <w:name w:val="Domyślna czcionka akapitu3"/>
  </w:style>
  <w:style w:type="character" w:customStyle="1" w:styleId="Domylnaczcionkaakapitu2">
    <w:name w:val="Domyślna czcionka akapitu2"/>
  </w:style>
  <w:style w:type="character" w:customStyle="1" w:styleId="WW8Num3z1">
    <w:name w:val="WW8Num3z1"/>
    <w:rPr>
      <w:rFonts w:hint="default"/>
    </w:rPr>
  </w:style>
  <w:style w:type="character" w:customStyle="1" w:styleId="WW8Num4z0">
    <w:name w:val="WW8Num4z0"/>
    <w:rPr>
      <w:rFonts w:cs="Verdana"/>
      <w:sz w:val="22"/>
      <w:szCs w:val="22"/>
    </w:rPr>
  </w:style>
  <w:style w:type="character" w:customStyle="1" w:styleId="WW8Num4z1">
    <w:name w:val="WW8Num4z1"/>
    <w:rPr>
      <w:rFonts w:ascii="Verdana" w:hAnsi="Verdana" w:cs="Verdana" w:hint="default"/>
      <w:b w:val="0"/>
      <w:i w:val="0"/>
      <w:sz w:val="22"/>
    </w:rPr>
  </w:style>
  <w:style w:type="character" w:customStyle="1" w:styleId="WW8Num8z0">
    <w:name w:val="WW8Num8z0"/>
    <w:rPr>
      <w:b/>
      <w:bCs/>
      <w:sz w:val="22"/>
      <w:szCs w:val="22"/>
    </w:rPr>
  </w:style>
  <w:style w:type="character" w:customStyle="1" w:styleId="WW8Num11z2">
    <w:name w:val="WW8Num11z2"/>
    <w:rPr>
      <w:rFonts w:ascii="Verdana" w:hAnsi="Verdana" w:cs="Verdana"/>
      <w:b w:val="0"/>
      <w:i w:val="0"/>
      <w:sz w:val="22"/>
    </w:rPr>
  </w:style>
  <w:style w:type="character" w:customStyle="1" w:styleId="WW8Num13z2">
    <w:name w:val="WW8Num13z2"/>
    <w:rPr>
      <w:rFonts w:ascii="Verdana" w:hAnsi="Verdana" w:cs="Verdana"/>
      <w:b w:val="0"/>
      <w:i w:val="0"/>
      <w:sz w:val="22"/>
    </w:rPr>
  </w:style>
  <w:style w:type="character" w:customStyle="1" w:styleId="WW8Num16z2">
    <w:name w:val="WW8Num16z2"/>
    <w:rPr>
      <w:rFonts w:ascii="Verdana" w:hAnsi="Verdana" w:cs="Verdana"/>
      <w:b w:val="0"/>
      <w:i w:val="0"/>
      <w:sz w:val="22"/>
    </w:rPr>
  </w:style>
  <w:style w:type="character" w:customStyle="1" w:styleId="WW8Num18z0">
    <w:name w:val="WW8Num18z0"/>
    <w:rPr>
      <w:rFonts w:cs="Verdana"/>
      <w:sz w:val="22"/>
      <w:szCs w:val="22"/>
    </w:rPr>
  </w:style>
  <w:style w:type="character" w:customStyle="1" w:styleId="WW8Num19z0">
    <w:name w:val="WW8Num19z0"/>
    <w:rPr>
      <w:rFonts w:cs="Verdana"/>
      <w:sz w:val="22"/>
      <w:szCs w:val="22"/>
    </w:rPr>
  </w:style>
  <w:style w:type="character" w:customStyle="1" w:styleId="WW8Num19z2">
    <w:name w:val="WW8Num19z2"/>
    <w:rPr>
      <w:rFonts w:ascii="Verdana" w:hAnsi="Verdana" w:cs="Verdana" w:hint="default"/>
      <w:b w:val="0"/>
      <w:i w:val="0"/>
      <w:sz w:val="22"/>
    </w:rPr>
  </w:style>
  <w:style w:type="character" w:customStyle="1" w:styleId="WW8Num20z0">
    <w:name w:val="WW8Num20z0"/>
    <w:rPr>
      <w:b w:val="0"/>
    </w:rPr>
  </w:style>
  <w:style w:type="character" w:customStyle="1" w:styleId="WW8Num21z0">
    <w:name w:val="WW8Num21z0"/>
    <w:rPr>
      <w:b w:val="0"/>
    </w:rPr>
  </w:style>
  <w:style w:type="character" w:customStyle="1" w:styleId="WW8Num22z0">
    <w:name w:val="WW8Num22z0"/>
    <w:rPr>
      <w:rFonts w:ascii="Verdana" w:hAnsi="Verdana" w:cs="Verdana" w:hint="default"/>
      <w:b/>
      <w:bCs/>
      <w:sz w:val="22"/>
      <w:szCs w:val="22"/>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customStyle="1" w:styleId="WW8Num22z1">
    <w:name w:val="WW8Num22z1"/>
    <w:rPr>
      <w:rFonts w:hint="default"/>
    </w:rPr>
  </w:style>
  <w:style w:type="character" w:customStyle="1" w:styleId="WW8Num23z0">
    <w:name w:val="WW8Num23z0"/>
    <w:rPr>
      <w:b/>
      <w:bCs/>
      <w:sz w:val="22"/>
      <w:szCs w:val="22"/>
    </w:rPr>
  </w:style>
  <w:style w:type="character" w:customStyle="1" w:styleId="WW8Num24z0">
    <w:name w:val="WW8Num24z0"/>
    <w:rPr>
      <w:rFonts w:cs="Verdana"/>
      <w:sz w:val="22"/>
      <w:szCs w:val="22"/>
    </w:rPr>
  </w:style>
  <w:style w:type="character" w:customStyle="1" w:styleId="WW8Num24z2">
    <w:name w:val="WW8Num24z2"/>
    <w:rPr>
      <w:rFonts w:ascii="Verdana" w:hAnsi="Verdana" w:cs="Verdana" w:hint="default"/>
      <w:b w:val="0"/>
      <w:i w:val="0"/>
      <w:sz w:val="22"/>
    </w:rPr>
  </w:style>
  <w:style w:type="character" w:customStyle="1" w:styleId="WW8Num25z0">
    <w:name w:val="WW8Num25z0"/>
    <w:rPr>
      <w:b/>
      <w:bCs/>
    </w:rPr>
  </w:style>
  <w:style w:type="character" w:customStyle="1" w:styleId="WW8Num26z0">
    <w:name w:val="WW8Num26z0"/>
    <w:rPr>
      <w:b/>
      <w:bCs/>
      <w:sz w:val="22"/>
      <w:szCs w:val="22"/>
    </w:rPr>
  </w:style>
  <w:style w:type="character" w:customStyle="1" w:styleId="WW8Num27z0">
    <w:name w:val="WW8Num27z0"/>
    <w:rPr>
      <w:rFonts w:cs="Verdana"/>
      <w:sz w:val="22"/>
      <w:szCs w:val="22"/>
    </w:rPr>
  </w:style>
  <w:style w:type="character" w:customStyle="1" w:styleId="WW8Num28z0">
    <w:name w:val="WW8Num28z0"/>
    <w:rPr>
      <w:b/>
      <w:bCs/>
      <w:sz w:val="22"/>
      <w:szCs w:val="18"/>
    </w:rPr>
  </w:style>
  <w:style w:type="character" w:customStyle="1" w:styleId="WW8Num29z0">
    <w:name w:val="WW8Num29z0"/>
    <w:rPr>
      <w:b w:val="0"/>
    </w:rPr>
  </w:style>
  <w:style w:type="character" w:customStyle="1" w:styleId="WW8Num30z0">
    <w:name w:val="WW8Num30z0"/>
    <w:rPr>
      <w:b/>
      <w:bCs/>
      <w:sz w:val="22"/>
      <w:szCs w:val="22"/>
    </w:rPr>
  </w:style>
  <w:style w:type="character" w:customStyle="1" w:styleId="WW8Num31z0">
    <w:name w:val="WW8Num31z0"/>
    <w:rPr>
      <w:rFonts w:cs="Arial Unicode MS"/>
      <w:caps w:val="0"/>
      <w:smallCaps w:val="0"/>
      <w:strike w:val="0"/>
      <w:dstrike w:val="0"/>
      <w:color w:val="000000"/>
      <w:spacing w:val="0"/>
      <w:w w:val="100"/>
      <w:kern w:val="0"/>
      <w:position w:val="0"/>
      <w:sz w:val="22"/>
      <w:szCs w:val="22"/>
      <w:vertAlign w:val="baseline"/>
    </w:rPr>
  </w:style>
  <w:style w:type="character" w:customStyle="1" w:styleId="WW8Num31z1">
    <w:name w:val="WW8Num31z1"/>
    <w:rPr>
      <w:rFonts w:ascii="Verdana" w:hAnsi="Verdana" w:cs="Verdana"/>
      <w:caps w:val="0"/>
      <w:smallCaps w:val="0"/>
      <w:strike w:val="0"/>
      <w:dstrike w:val="0"/>
      <w:color w:val="000000"/>
      <w:spacing w:val="0"/>
      <w:w w:val="100"/>
      <w:kern w:val="0"/>
      <w:position w:val="0"/>
      <w:sz w:val="22"/>
      <w:szCs w:val="22"/>
      <w:vertAlign w:val="baseline"/>
    </w:rPr>
  </w:style>
  <w:style w:type="character" w:customStyle="1" w:styleId="WW8Num32z0">
    <w:name w:val="WW8Num32z0"/>
    <w:rPr>
      <w:rFonts w:cs="Verdana"/>
      <w:sz w:val="22"/>
      <w:szCs w:val="22"/>
    </w:rPr>
  </w:style>
  <w:style w:type="character" w:customStyle="1" w:styleId="WW8Num33z0">
    <w:name w:val="WW8Num33z0"/>
    <w:rPr>
      <w:rFonts w:cs="Verdana"/>
      <w:sz w:val="22"/>
      <w:szCs w:val="22"/>
    </w:rPr>
  </w:style>
  <w:style w:type="character" w:customStyle="1" w:styleId="WW8Num35z0">
    <w:name w:val="WW8Num35z0"/>
    <w:rPr>
      <w:rFonts w:ascii="Verdana" w:hAnsi="Verdana" w:cs="Verdana"/>
      <w:b w:val="0"/>
      <w:i w:val="0"/>
      <w:sz w:val="22"/>
    </w:rPr>
  </w:style>
  <w:style w:type="character" w:customStyle="1" w:styleId="WW8Num36z0">
    <w:name w:val="WW8Num36z0"/>
    <w:rPr>
      <w:rFonts w:cs="Verdana"/>
      <w:sz w:val="22"/>
      <w:szCs w:val="22"/>
    </w:rPr>
  </w:style>
  <w:style w:type="character" w:customStyle="1" w:styleId="WW8Num38z0">
    <w:name w:val="WW8Num38z0"/>
    <w:rPr>
      <w:rFonts w:ascii="Verdana" w:eastAsia="Times New Roman" w:hAnsi="Verdana" w:cs="Verdana"/>
      <w:b w:val="0"/>
      <w:bCs/>
      <w:sz w:val="22"/>
      <w:szCs w:val="22"/>
    </w:rPr>
  </w:style>
  <w:style w:type="character" w:customStyle="1" w:styleId="Domylnaczcionkaakapitu1">
    <w:name w:val="Domyślna czcionka akapitu1"/>
  </w:style>
  <w:style w:type="character" w:customStyle="1" w:styleId="ListLabel10">
    <w:name w:val="ListLabel 10"/>
    <w:rPr>
      <w:b/>
      <w:bCs/>
      <w:sz w:val="22"/>
      <w:szCs w:val="22"/>
    </w:rPr>
  </w:style>
  <w:style w:type="character" w:customStyle="1" w:styleId="ListLabel1">
    <w:name w:val="ListLabel 1"/>
    <w:rPr>
      <w:rFonts w:cs="Arial Unicode MS"/>
      <w:caps w:val="0"/>
      <w:smallCaps w:val="0"/>
      <w:strike w:val="0"/>
      <w:dstrike w:val="0"/>
      <w:color w:val="000000"/>
      <w:spacing w:val="0"/>
      <w:w w:val="100"/>
      <w:kern w:val="0"/>
      <w:position w:val="0"/>
      <w:sz w:val="22"/>
      <w:szCs w:val="22"/>
      <w:vertAlign w:val="baseline"/>
    </w:rPr>
  </w:style>
  <w:style w:type="character" w:customStyle="1" w:styleId="ListLabel2">
    <w:name w:val="ListLabel 2"/>
    <w:rPr>
      <w:rFonts w:cs="Arial Unicode MS"/>
      <w:caps w:val="0"/>
      <w:smallCaps w:val="0"/>
      <w:strike w:val="0"/>
      <w:dstrike w:val="0"/>
      <w:color w:val="000000"/>
      <w:spacing w:val="0"/>
      <w:w w:val="100"/>
      <w:kern w:val="0"/>
      <w:position w:val="0"/>
      <w:sz w:val="22"/>
      <w:szCs w:val="22"/>
      <w:vertAlign w:val="baseline"/>
    </w:rPr>
  </w:style>
  <w:style w:type="character" w:customStyle="1" w:styleId="ListLabel3">
    <w:name w:val="ListLabel 3"/>
    <w:rPr>
      <w:rFonts w:cs="Arial Unicode MS"/>
      <w:caps w:val="0"/>
      <w:smallCaps w:val="0"/>
      <w:strike w:val="0"/>
      <w:dstrike w:val="0"/>
      <w:color w:val="000000"/>
      <w:spacing w:val="0"/>
      <w:w w:val="100"/>
      <w:kern w:val="0"/>
      <w:position w:val="0"/>
      <w:sz w:val="22"/>
      <w:szCs w:val="22"/>
      <w:vertAlign w:val="baseline"/>
    </w:rPr>
  </w:style>
  <w:style w:type="character" w:customStyle="1" w:styleId="ListLabel4">
    <w:name w:val="ListLabel 4"/>
    <w:rPr>
      <w:rFonts w:cs="Arial Unicode MS"/>
      <w:caps w:val="0"/>
      <w:smallCaps w:val="0"/>
      <w:strike w:val="0"/>
      <w:dstrike w:val="0"/>
      <w:color w:val="000000"/>
      <w:spacing w:val="0"/>
      <w:w w:val="100"/>
      <w:kern w:val="0"/>
      <w:position w:val="0"/>
      <w:sz w:val="22"/>
      <w:szCs w:val="22"/>
      <w:vertAlign w:val="baseline"/>
    </w:rPr>
  </w:style>
  <w:style w:type="character" w:customStyle="1" w:styleId="ListLabel5">
    <w:name w:val="ListLabel 5"/>
    <w:rPr>
      <w:rFonts w:cs="Arial Unicode MS"/>
      <w:caps w:val="0"/>
      <w:smallCaps w:val="0"/>
      <w:strike w:val="0"/>
      <w:dstrike w:val="0"/>
      <w:color w:val="000000"/>
      <w:spacing w:val="0"/>
      <w:w w:val="100"/>
      <w:kern w:val="0"/>
      <w:position w:val="0"/>
      <w:sz w:val="22"/>
      <w:szCs w:val="22"/>
      <w:vertAlign w:val="baseline"/>
    </w:rPr>
  </w:style>
  <w:style w:type="character" w:customStyle="1" w:styleId="ListLabel6">
    <w:name w:val="ListLabel 6"/>
    <w:rPr>
      <w:rFonts w:cs="Arial Unicode MS"/>
      <w:caps w:val="0"/>
      <w:smallCaps w:val="0"/>
      <w:strike w:val="0"/>
      <w:dstrike w:val="0"/>
      <w:color w:val="000000"/>
      <w:spacing w:val="0"/>
      <w:w w:val="100"/>
      <w:kern w:val="0"/>
      <w:position w:val="0"/>
      <w:sz w:val="22"/>
      <w:szCs w:val="22"/>
      <w:vertAlign w:val="baseline"/>
    </w:rPr>
  </w:style>
  <w:style w:type="character" w:customStyle="1" w:styleId="ListLabel7">
    <w:name w:val="ListLabel 7"/>
    <w:rPr>
      <w:rFonts w:cs="Arial Unicode MS"/>
      <w:caps w:val="0"/>
      <w:smallCaps w:val="0"/>
      <w:strike w:val="0"/>
      <w:dstrike w:val="0"/>
      <w:color w:val="000000"/>
      <w:spacing w:val="0"/>
      <w:w w:val="100"/>
      <w:kern w:val="0"/>
      <w:position w:val="0"/>
      <w:sz w:val="22"/>
      <w:szCs w:val="22"/>
      <w:vertAlign w:val="baseline"/>
    </w:rPr>
  </w:style>
  <w:style w:type="character" w:customStyle="1" w:styleId="ListLabel8">
    <w:name w:val="ListLabel 8"/>
    <w:rPr>
      <w:rFonts w:cs="Arial Unicode MS"/>
      <w:caps w:val="0"/>
      <w:smallCaps w:val="0"/>
      <w:strike w:val="0"/>
      <w:dstrike w:val="0"/>
      <w:color w:val="000000"/>
      <w:spacing w:val="0"/>
      <w:w w:val="100"/>
      <w:kern w:val="0"/>
      <w:position w:val="0"/>
      <w:sz w:val="22"/>
      <w:szCs w:val="22"/>
      <w:vertAlign w:val="baseline"/>
    </w:rPr>
  </w:style>
  <w:style w:type="character" w:customStyle="1" w:styleId="ListLabel9">
    <w:name w:val="ListLabel 9"/>
    <w:rPr>
      <w:rFonts w:cs="Arial Unicode MS"/>
      <w:caps w:val="0"/>
      <w:smallCaps w:val="0"/>
      <w:strike w:val="0"/>
      <w:dstrike w:val="0"/>
      <w:color w:val="000000"/>
      <w:spacing w:val="0"/>
      <w:w w:val="100"/>
      <w:kern w:val="0"/>
      <w:position w:val="0"/>
      <w:sz w:val="22"/>
      <w:szCs w:val="22"/>
      <w:vertAlign w:val="baseline"/>
    </w:rPr>
  </w:style>
  <w:style w:type="character" w:customStyle="1" w:styleId="ListLabel11">
    <w:name w:val="ListLabel 11"/>
    <w:rPr>
      <w:rFonts w:cs="Verdana"/>
      <w:sz w:val="22"/>
      <w:szCs w:val="22"/>
    </w:rPr>
  </w:style>
  <w:style w:type="character" w:customStyle="1" w:styleId="ListLabel25">
    <w:name w:val="ListLabel 25"/>
    <w:rPr>
      <w:rFonts w:cs="Verdana"/>
      <w:sz w:val="22"/>
      <w:szCs w:val="22"/>
    </w:rPr>
  </w:style>
  <w:style w:type="character" w:customStyle="1" w:styleId="ListLabel12">
    <w:name w:val="ListLabel 12"/>
    <w:rPr>
      <w:rFonts w:cs="Verdana"/>
      <w:sz w:val="22"/>
      <w:szCs w:val="22"/>
    </w:rPr>
  </w:style>
  <w:style w:type="character" w:customStyle="1" w:styleId="ListLabel26">
    <w:name w:val="ListLabel 26"/>
    <w:rPr>
      <w:rFonts w:cs="Verdana"/>
      <w:sz w:val="22"/>
      <w:szCs w:val="22"/>
    </w:rPr>
  </w:style>
  <w:style w:type="character" w:customStyle="1" w:styleId="ListLabel13">
    <w:name w:val="ListLabel 13"/>
    <w:rPr>
      <w:rFonts w:cs="Verdana"/>
      <w:sz w:val="22"/>
      <w:szCs w:val="22"/>
    </w:rPr>
  </w:style>
  <w:style w:type="character" w:customStyle="1" w:styleId="ListLabel14">
    <w:name w:val="ListLabel 14"/>
    <w:rPr>
      <w:rFonts w:cs="Verdana"/>
      <w:sz w:val="22"/>
      <w:szCs w:val="22"/>
    </w:rPr>
  </w:style>
  <w:style w:type="character" w:customStyle="1" w:styleId="ListLabel27">
    <w:name w:val="ListLabel 27"/>
    <w:rPr>
      <w:rFonts w:cs="Verdana"/>
      <w:sz w:val="22"/>
      <w:szCs w:val="22"/>
    </w:rPr>
  </w:style>
  <w:style w:type="character" w:customStyle="1" w:styleId="ListLabel15">
    <w:name w:val="ListLabel 15"/>
    <w:rPr>
      <w:rFonts w:cs="Verdana"/>
      <w:sz w:val="22"/>
      <w:szCs w:val="22"/>
    </w:rPr>
  </w:style>
  <w:style w:type="character" w:customStyle="1" w:styleId="ListLabel28">
    <w:name w:val="ListLabel 28"/>
    <w:rPr>
      <w:rFonts w:cs="Verdana"/>
      <w:sz w:val="22"/>
      <w:szCs w:val="22"/>
    </w:rPr>
  </w:style>
  <w:style w:type="character" w:customStyle="1" w:styleId="ListLabel16">
    <w:name w:val="ListLabel 16"/>
    <w:rPr>
      <w:b/>
      <w:bCs/>
    </w:rPr>
  </w:style>
  <w:style w:type="character" w:customStyle="1" w:styleId="ListLabel17">
    <w:name w:val="ListLabel 17"/>
    <w:rPr>
      <w:b/>
      <w:bCs/>
      <w:sz w:val="22"/>
      <w:szCs w:val="22"/>
    </w:rPr>
  </w:style>
  <w:style w:type="character" w:customStyle="1" w:styleId="ListLabel18">
    <w:name w:val="ListLabel 18"/>
    <w:rPr>
      <w:b/>
      <w:bCs/>
      <w:sz w:val="22"/>
      <w:szCs w:val="18"/>
    </w:rPr>
  </w:style>
  <w:style w:type="character" w:customStyle="1" w:styleId="ListLabel19">
    <w:name w:val="ListLabel 19"/>
    <w:rPr>
      <w:b/>
      <w:bCs/>
      <w:sz w:val="22"/>
      <w:szCs w:val="22"/>
    </w:rPr>
  </w:style>
  <w:style w:type="character" w:customStyle="1" w:styleId="ListLabel20">
    <w:name w:val="ListLabel 20"/>
    <w:rPr>
      <w:b/>
      <w:bCs/>
      <w:sz w:val="22"/>
      <w:szCs w:val="22"/>
    </w:rPr>
  </w:style>
  <w:style w:type="character" w:customStyle="1" w:styleId="Internetlink">
    <w:name w:val="Internet link"/>
    <w:rPr>
      <w:color w:val="0563C1"/>
      <w:u w:val="single"/>
    </w:rPr>
  </w:style>
  <w:style w:type="character" w:customStyle="1" w:styleId="Brak">
    <w:name w:val="Brak"/>
  </w:style>
  <w:style w:type="character" w:customStyle="1" w:styleId="TekstprzypisukocowegoZnak">
    <w:name w:val="Tekst przypisu końcowego Znak"/>
    <w:rPr>
      <w:rFonts w:cs="Mangal"/>
      <w:sz w:val="20"/>
      <w:szCs w:val="18"/>
    </w:rPr>
  </w:style>
  <w:style w:type="character" w:customStyle="1" w:styleId="Znakiprzypiswkocowych">
    <w:name w:val="Znaki przypisów końcowych"/>
    <w:rPr>
      <w:vertAlign w:val="superscript"/>
    </w:rPr>
  </w:style>
  <w:style w:type="character" w:customStyle="1" w:styleId="Odwoanieprzypisukocowego1">
    <w:name w:val="Odwołanie przypisu końcowego1"/>
    <w:rPr>
      <w:vertAlign w:val="superscript"/>
    </w:rPr>
  </w:style>
  <w:style w:type="character" w:customStyle="1" w:styleId="Odwoanieprzypisukocowego2">
    <w:name w:val="Odwołanie przypisu końcowego2"/>
    <w:rPr>
      <w:vertAlign w:val="superscript"/>
    </w:rPr>
  </w:style>
  <w:style w:type="paragraph" w:customStyle="1" w:styleId="Nagwek3">
    <w:name w:val="Nagłówek3"/>
    <w:basedOn w:val="Normalny"/>
    <w:next w:val="Tekstpodstawowy"/>
    <w:pPr>
      <w:keepNext/>
      <w:spacing w:before="240" w:after="120"/>
    </w:pPr>
    <w:rPr>
      <w:rFonts w:ascii="Liberation Sans" w:eastAsia="Microsoft YaHei" w:hAnsi="Liberation Sans" w:cs="Lucida Sans"/>
      <w:sz w:val="28"/>
      <w:szCs w:val="28"/>
    </w:rPr>
  </w:style>
  <w:style w:type="paragraph" w:styleId="Tekstpodstawowy">
    <w:name w:val="Body Text"/>
    <w:basedOn w:val="Normalny"/>
    <w:pPr>
      <w:spacing w:after="140" w:line="276" w:lineRule="auto"/>
    </w:pPr>
  </w:style>
  <w:style w:type="paragraph" w:styleId="Lista">
    <w:name w:val="List"/>
    <w:basedOn w:val="Textbody"/>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pPr>
      <w:suppressLineNumbers/>
    </w:pPr>
    <w:rPr>
      <w:rFonts w:cs="Lucida Sans"/>
    </w:rPr>
  </w:style>
  <w:style w:type="paragraph" w:customStyle="1" w:styleId="Nagwek2">
    <w:name w:val="Nagłówek2"/>
    <w:basedOn w:val="Normalny"/>
    <w:next w:val="Tekstpodstawowy"/>
    <w:pPr>
      <w:keepNext/>
      <w:spacing w:before="240" w:after="120"/>
    </w:pPr>
    <w:rPr>
      <w:rFonts w:ascii="Liberation Sans" w:eastAsia="Microsoft YaHei" w:hAnsi="Liberation Sans" w:cs="Lucida Sans"/>
      <w:sz w:val="28"/>
      <w:szCs w:val="28"/>
    </w:rPr>
  </w:style>
  <w:style w:type="paragraph" w:customStyle="1" w:styleId="Standard">
    <w:name w:val="Standard"/>
    <w:pPr>
      <w:suppressAutoHyphens/>
      <w:textAlignment w:val="baseline"/>
    </w:pPr>
    <w:rPr>
      <w:rFonts w:ascii="Liberation Serif" w:eastAsia="NSimSun" w:hAnsi="Liberation Serif" w:cs="Lucida Sans"/>
      <w:kern w:val="2"/>
      <w:sz w:val="24"/>
      <w:szCs w:val="24"/>
      <w:lang w:eastAsia="zh-CN" w:bidi="hi-IN"/>
    </w:rPr>
  </w:style>
  <w:style w:type="paragraph" w:customStyle="1" w:styleId="Textbody">
    <w:name w:val="Text body"/>
    <w:basedOn w:val="Standard"/>
    <w:pPr>
      <w:spacing w:after="140" w:line="276" w:lineRule="auto"/>
    </w:pPr>
  </w:style>
  <w:style w:type="paragraph" w:customStyle="1" w:styleId="Legenda3">
    <w:name w:val="Legenda3"/>
    <w:basedOn w:val="Normalny"/>
    <w:pPr>
      <w:suppressLineNumbers/>
      <w:spacing w:before="120" w:after="120"/>
    </w:pPr>
    <w:rPr>
      <w:rFonts w:cs="Lucida Sans"/>
      <w:i/>
      <w:iCs/>
      <w:sz w:val="24"/>
      <w:szCs w:val="24"/>
    </w:rPr>
  </w:style>
  <w:style w:type="paragraph" w:customStyle="1" w:styleId="Nagwek1">
    <w:name w:val="Nagłówek1"/>
    <w:basedOn w:val="Normalny"/>
    <w:next w:val="Tekstpodstawowy"/>
    <w:pPr>
      <w:keepNext/>
      <w:spacing w:before="240" w:after="120"/>
    </w:pPr>
    <w:rPr>
      <w:rFonts w:ascii="Liberation Sans" w:eastAsia="Microsoft YaHei" w:hAnsi="Liberation Sans" w:cs="Lucida Sans"/>
      <w:sz w:val="28"/>
      <w:szCs w:val="28"/>
    </w:rPr>
  </w:style>
  <w:style w:type="paragraph" w:customStyle="1" w:styleId="Legenda2">
    <w:name w:val="Legenda2"/>
    <w:basedOn w:val="Normalny"/>
    <w:pPr>
      <w:suppressLineNumbers/>
      <w:spacing w:before="120" w:after="120"/>
    </w:pPr>
    <w:rPr>
      <w:rFonts w:cs="Lucida Sans"/>
      <w:i/>
      <w:iCs/>
      <w:sz w:val="24"/>
      <w:szCs w:val="24"/>
    </w:rPr>
  </w:style>
  <w:style w:type="paragraph" w:customStyle="1" w:styleId="Heading">
    <w:name w:val="Heading"/>
    <w:basedOn w:val="Standard"/>
    <w:next w:val="Textbody"/>
    <w:pPr>
      <w:keepNext/>
      <w:spacing w:before="240" w:after="120"/>
    </w:pPr>
    <w:rPr>
      <w:rFonts w:ascii="Liberation Sans" w:eastAsia="Microsoft YaHei" w:hAnsi="Liberation Sans" w:cs="Liberation Sans"/>
      <w:sz w:val="28"/>
      <w:szCs w:val="28"/>
    </w:rPr>
  </w:style>
  <w:style w:type="paragraph" w:customStyle="1" w:styleId="Legenda1">
    <w:name w:val="Legenda1"/>
    <w:basedOn w:val="Standard"/>
    <w:pPr>
      <w:suppressLineNumbers/>
      <w:spacing w:before="120" w:after="120"/>
    </w:pPr>
    <w:rPr>
      <w:i/>
      <w:iCs/>
    </w:rPr>
  </w:style>
  <w:style w:type="paragraph" w:customStyle="1" w:styleId="Index">
    <w:name w:val="Index"/>
    <w:basedOn w:val="Standard"/>
    <w:pPr>
      <w:suppressLineNumbers/>
    </w:pPr>
  </w:style>
  <w:style w:type="paragraph" w:styleId="Tekstprzypisukocowego">
    <w:name w:val="endnote text"/>
    <w:basedOn w:val="Normalny"/>
    <w:rPr>
      <w:rFonts w:cs="Mangal"/>
      <w:sz w:val="20"/>
      <w:szCs w:val="18"/>
    </w:rPr>
  </w:style>
  <w:style w:type="paragraph" w:customStyle="1" w:styleId="Standarduser">
    <w:name w:val="Standard (user)"/>
    <w:pPr>
      <w:widowControl w:val="0"/>
      <w:suppressAutoHyphens/>
      <w:textAlignment w:val="baseline"/>
    </w:pPr>
    <w:rPr>
      <w:rFonts w:eastAsia="Arial Unicode MS" w:cs="Tahoma"/>
      <w:kern w:val="2"/>
      <w:sz w:val="24"/>
      <w:szCs w:val="24"/>
      <w:lang w:eastAsia="zh-CN" w:bidi="pl-PL"/>
    </w:rPr>
  </w:style>
  <w:style w:type="paragraph" w:customStyle="1" w:styleId="Textbodyindent1">
    <w:name w:val="Text body indent1"/>
    <w:basedOn w:val="Standard"/>
    <w:pPr>
      <w:widowControl w:val="0"/>
      <w:ind w:left="426" w:hanging="426"/>
      <w:jc w:val="both"/>
    </w:pPr>
    <w:rPr>
      <w:rFonts w:ascii="Times New Roman" w:eastAsia="Arial Unicode MS" w:hAnsi="Times New Roman" w:cs="Tahoma"/>
      <w:lang w:bidi="pl-PL"/>
    </w:rPr>
  </w:style>
  <w:style w:type="paragraph" w:styleId="Nagwek">
    <w:name w:val="header"/>
    <w:basedOn w:val="Normalny"/>
    <w:link w:val="NagwekZnak"/>
    <w:uiPriority w:val="99"/>
    <w:unhideWhenUsed/>
    <w:rsid w:val="00AC4C76"/>
    <w:pPr>
      <w:tabs>
        <w:tab w:val="center" w:pos="4536"/>
        <w:tab w:val="right" w:pos="9072"/>
      </w:tabs>
    </w:pPr>
  </w:style>
  <w:style w:type="character" w:customStyle="1" w:styleId="NagwekZnak">
    <w:name w:val="Nagłówek Znak"/>
    <w:link w:val="Nagwek"/>
    <w:uiPriority w:val="99"/>
    <w:rsid w:val="00AC4C76"/>
    <w:rPr>
      <w:rFonts w:ascii="Verdana" w:hAnsi="Verdana" w:cs="Verdana"/>
      <w:color w:val="000000"/>
      <w:kern w:val="2"/>
      <w:sz w:val="22"/>
      <w:szCs w:val="22"/>
      <w:lang w:eastAsia="zh-CN"/>
    </w:rPr>
  </w:style>
  <w:style w:type="paragraph" w:styleId="Stopka">
    <w:name w:val="footer"/>
    <w:basedOn w:val="Normalny"/>
    <w:link w:val="StopkaZnak"/>
    <w:uiPriority w:val="99"/>
    <w:unhideWhenUsed/>
    <w:rsid w:val="00AC4C76"/>
    <w:pPr>
      <w:tabs>
        <w:tab w:val="center" w:pos="4536"/>
        <w:tab w:val="right" w:pos="9072"/>
      </w:tabs>
    </w:pPr>
  </w:style>
  <w:style w:type="character" w:customStyle="1" w:styleId="StopkaZnak">
    <w:name w:val="Stopka Znak"/>
    <w:link w:val="Stopka"/>
    <w:uiPriority w:val="99"/>
    <w:rsid w:val="00AC4C76"/>
    <w:rPr>
      <w:rFonts w:ascii="Verdana" w:hAnsi="Verdana" w:cs="Verdana"/>
      <w:color w:val="000000"/>
      <w:kern w:val="2"/>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3224</Words>
  <Characters>19349</Characters>
  <Application>Microsoft Office Word</Application>
  <DocSecurity>4</DocSecurity>
  <Lines>161</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BartekL</dc:creator>
  <cp:keywords/>
  <cp:lastModifiedBy>Kamila  Złotnik</cp:lastModifiedBy>
  <cp:revision>2</cp:revision>
  <cp:lastPrinted>2025-04-24T11:52:00Z</cp:lastPrinted>
  <dcterms:created xsi:type="dcterms:W3CDTF">2025-04-28T09:31:00Z</dcterms:created>
  <dcterms:modified xsi:type="dcterms:W3CDTF">2025-04-28T09:31:00Z</dcterms:modified>
</cp:coreProperties>
</file>